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24679">
      <w:pPr>
        <w:pStyle w:val="19"/>
        <w:adjustRightInd w:val="0"/>
        <w:snapToGrid w:val="0"/>
        <w:spacing w:line="240" w:lineRule="atLeast"/>
        <w:jc w:val="center"/>
        <w:rPr>
          <w:rFonts w:hAnsi="宋体"/>
          <w:color w:val="auto"/>
        </w:rPr>
      </w:pPr>
    </w:p>
    <w:p w14:paraId="3401A1EB">
      <w:pPr>
        <w:pStyle w:val="19"/>
        <w:adjustRightInd w:val="0"/>
        <w:snapToGrid w:val="0"/>
        <w:spacing w:line="240" w:lineRule="atLeast"/>
        <w:jc w:val="center"/>
        <w:rPr>
          <w:rFonts w:hAnsi="宋体"/>
          <w:color w:val="auto"/>
        </w:rPr>
      </w:pPr>
    </w:p>
    <w:p w14:paraId="010D1EF3">
      <w:pPr>
        <w:pStyle w:val="19"/>
        <w:adjustRightInd w:val="0"/>
        <w:snapToGrid w:val="0"/>
        <w:spacing w:line="240" w:lineRule="atLeast"/>
        <w:jc w:val="center"/>
        <w:rPr>
          <w:rFonts w:hAnsi="宋体"/>
          <w:color w:val="auto"/>
        </w:rPr>
      </w:pPr>
    </w:p>
    <w:p w14:paraId="196135CE">
      <w:pPr>
        <w:pStyle w:val="19"/>
        <w:adjustRightInd w:val="0"/>
        <w:snapToGrid w:val="0"/>
        <w:spacing w:line="240" w:lineRule="atLeast"/>
        <w:jc w:val="center"/>
        <w:rPr>
          <w:rFonts w:hAnsi="宋体"/>
          <w:color w:val="auto"/>
        </w:rPr>
      </w:pPr>
    </w:p>
    <w:p w14:paraId="2A57AB80">
      <w:pPr>
        <w:pStyle w:val="19"/>
        <w:adjustRightInd w:val="0"/>
        <w:snapToGrid w:val="0"/>
        <w:spacing w:line="240" w:lineRule="atLeast"/>
        <w:jc w:val="center"/>
        <w:rPr>
          <w:rFonts w:ascii="华文中宋" w:hAnsi="华文中宋" w:eastAsia="华文中宋"/>
          <w:bCs/>
          <w:color w:val="auto"/>
          <w:sz w:val="48"/>
          <w:szCs w:val="48"/>
        </w:rPr>
      </w:pPr>
      <w:r>
        <w:rPr>
          <w:rFonts w:hint="eastAsia" w:ascii="华文中宋" w:hAnsi="华文中宋" w:eastAsia="华文中宋"/>
          <w:bCs/>
          <w:color w:val="auto"/>
          <w:sz w:val="48"/>
          <w:szCs w:val="48"/>
        </w:rPr>
        <w:t>娄底市万宝新区开发投资集团有限公司</w:t>
      </w:r>
    </w:p>
    <w:p w14:paraId="6F3BB42E">
      <w:pPr>
        <w:pStyle w:val="19"/>
        <w:adjustRightInd w:val="0"/>
        <w:snapToGrid w:val="0"/>
        <w:spacing w:line="240" w:lineRule="atLeast"/>
        <w:jc w:val="center"/>
        <w:rPr>
          <w:rFonts w:ascii="华文中宋" w:hAnsi="华文中宋" w:eastAsia="华文中宋"/>
          <w:bCs/>
          <w:color w:val="auto"/>
          <w:sz w:val="48"/>
          <w:szCs w:val="48"/>
        </w:rPr>
      </w:pPr>
    </w:p>
    <w:p w14:paraId="4941A3A2">
      <w:pPr>
        <w:pStyle w:val="19"/>
        <w:adjustRightInd w:val="0"/>
        <w:snapToGrid w:val="0"/>
        <w:spacing w:line="240" w:lineRule="atLeast"/>
        <w:jc w:val="center"/>
        <w:rPr>
          <w:rFonts w:ascii="华文中宋" w:hAnsi="华文中宋" w:eastAsia="华文中宋"/>
          <w:bCs/>
          <w:color w:val="auto"/>
          <w:sz w:val="48"/>
          <w:szCs w:val="48"/>
        </w:rPr>
      </w:pPr>
      <w:r>
        <w:rPr>
          <w:rFonts w:hint="eastAsia" w:ascii="华文中宋" w:hAnsi="华文中宋" w:eastAsia="华文中宋"/>
          <w:bCs/>
          <w:color w:val="auto"/>
          <w:sz w:val="48"/>
          <w:szCs w:val="48"/>
        </w:rPr>
        <w:t>服务类项目询价比选文件</w:t>
      </w:r>
    </w:p>
    <w:p w14:paraId="40D8F9D5">
      <w:pPr>
        <w:pStyle w:val="19"/>
        <w:adjustRightInd w:val="0"/>
        <w:snapToGrid w:val="0"/>
        <w:spacing w:line="240" w:lineRule="atLeast"/>
        <w:rPr>
          <w:rFonts w:ascii="华文中宋" w:hAnsi="华文中宋" w:eastAsia="华文中宋"/>
          <w:b/>
          <w:bCs/>
          <w:color w:val="auto"/>
          <w:sz w:val="44"/>
          <w:szCs w:val="44"/>
        </w:rPr>
      </w:pPr>
    </w:p>
    <w:p w14:paraId="7D066096">
      <w:pPr>
        <w:pStyle w:val="19"/>
        <w:adjustRightInd w:val="0"/>
        <w:snapToGrid w:val="0"/>
        <w:spacing w:line="240" w:lineRule="atLeast"/>
        <w:rPr>
          <w:rFonts w:ascii="华文中宋" w:hAnsi="华文中宋" w:eastAsia="华文中宋"/>
          <w:b/>
          <w:bCs/>
          <w:color w:val="auto"/>
          <w:sz w:val="44"/>
          <w:szCs w:val="44"/>
        </w:rPr>
      </w:pPr>
    </w:p>
    <w:p w14:paraId="43440A7A">
      <w:pPr>
        <w:pStyle w:val="19"/>
        <w:adjustRightInd w:val="0"/>
        <w:snapToGrid w:val="0"/>
        <w:spacing w:line="240" w:lineRule="atLeast"/>
        <w:rPr>
          <w:rFonts w:ascii="华文中宋" w:hAnsi="华文中宋" w:eastAsia="华文中宋"/>
          <w:b/>
          <w:bCs/>
          <w:color w:val="auto"/>
          <w:sz w:val="44"/>
          <w:szCs w:val="44"/>
        </w:rPr>
      </w:pPr>
    </w:p>
    <w:p w14:paraId="6AEC4365">
      <w:pPr>
        <w:pStyle w:val="19"/>
        <w:adjustRightInd w:val="0"/>
        <w:snapToGrid w:val="0"/>
        <w:spacing w:line="240" w:lineRule="atLeast"/>
        <w:rPr>
          <w:rFonts w:ascii="华文中宋" w:hAnsi="华文中宋" w:eastAsia="华文中宋"/>
          <w:b/>
          <w:bCs/>
          <w:color w:val="auto"/>
          <w:sz w:val="44"/>
          <w:szCs w:val="44"/>
        </w:rPr>
      </w:pPr>
    </w:p>
    <w:p w14:paraId="6CD2BFB6">
      <w:pPr>
        <w:pStyle w:val="19"/>
        <w:adjustRightInd w:val="0"/>
        <w:snapToGrid w:val="0"/>
        <w:spacing w:line="240" w:lineRule="atLeast"/>
        <w:rPr>
          <w:rFonts w:ascii="华文中宋" w:hAnsi="华文中宋" w:eastAsia="华文中宋"/>
          <w:b/>
          <w:bCs/>
          <w:color w:val="auto"/>
          <w:sz w:val="44"/>
          <w:szCs w:val="44"/>
        </w:rPr>
      </w:pPr>
    </w:p>
    <w:p w14:paraId="157F6224">
      <w:pPr>
        <w:pStyle w:val="19"/>
        <w:adjustRightInd w:val="0"/>
        <w:snapToGrid w:val="0"/>
        <w:spacing w:line="240" w:lineRule="atLeast"/>
        <w:jc w:val="center"/>
        <w:rPr>
          <w:rFonts w:ascii="华文中宋" w:hAnsi="华文中宋" w:eastAsia="华文中宋"/>
          <w:bCs/>
          <w:color w:val="auto"/>
        </w:rPr>
      </w:pPr>
    </w:p>
    <w:p w14:paraId="3E965165">
      <w:pPr>
        <w:adjustRightInd w:val="0"/>
        <w:snapToGrid w:val="0"/>
        <w:spacing w:line="360" w:lineRule="auto"/>
        <w:jc w:val="center"/>
        <w:rPr>
          <w:rFonts w:hAnsi="宋体"/>
          <w:b/>
          <w:color w:val="auto"/>
          <w:sz w:val="24"/>
        </w:rPr>
      </w:pPr>
      <w:r>
        <w:rPr>
          <w:rFonts w:hint="eastAsia" w:hAnsi="宋体"/>
          <w:b/>
          <w:color w:val="auto"/>
          <w:sz w:val="24"/>
        </w:rPr>
        <w:t>采购项目名称：娄底水府示范片万宝新区娄星南路北段及众园路建设工程（万宝新区众园路西段（GK0+200~GK0+902.924、K0+528.557~K1+300）</w:t>
      </w:r>
      <w:r>
        <w:rPr>
          <w:rFonts w:hint="eastAsia" w:hAnsi="宋体"/>
          <w:b/>
          <w:color w:val="auto"/>
          <w:sz w:val="24"/>
          <w:lang w:eastAsia="zh-CN"/>
        </w:rPr>
        <w:t>）</w:t>
      </w:r>
      <w:r>
        <w:rPr>
          <w:rFonts w:hint="eastAsia" w:hAnsi="宋体"/>
          <w:b/>
          <w:color w:val="auto"/>
          <w:sz w:val="24"/>
        </w:rPr>
        <w:t>结算审核造价咨询服务</w:t>
      </w:r>
    </w:p>
    <w:p w14:paraId="218EFCE9">
      <w:pPr>
        <w:pStyle w:val="36"/>
        <w:rPr>
          <w:color w:val="auto"/>
          <w:sz w:val="21"/>
          <w:szCs w:val="21"/>
        </w:rPr>
      </w:pPr>
    </w:p>
    <w:p w14:paraId="36066D25">
      <w:pPr>
        <w:pStyle w:val="19"/>
        <w:adjustRightInd w:val="0"/>
        <w:snapToGrid w:val="0"/>
        <w:spacing w:line="240" w:lineRule="atLeast"/>
        <w:jc w:val="center"/>
        <w:rPr>
          <w:rFonts w:ascii="华文中宋" w:hAnsi="华文中宋" w:eastAsia="华文中宋"/>
          <w:bCs/>
          <w:color w:val="auto"/>
        </w:rPr>
      </w:pPr>
    </w:p>
    <w:p w14:paraId="42AC4E9C">
      <w:pPr>
        <w:pStyle w:val="19"/>
        <w:adjustRightInd w:val="0"/>
        <w:snapToGrid w:val="0"/>
        <w:spacing w:line="240" w:lineRule="atLeast"/>
        <w:jc w:val="center"/>
        <w:rPr>
          <w:rFonts w:ascii="华文中宋" w:hAnsi="华文中宋" w:eastAsia="华文中宋"/>
          <w:bCs/>
          <w:color w:val="auto"/>
          <w:sz w:val="24"/>
          <w:szCs w:val="24"/>
        </w:rPr>
      </w:pPr>
      <w:r>
        <w:rPr>
          <w:rFonts w:hint="eastAsia" w:ascii="华文中宋" w:hAnsi="华文中宋" w:eastAsia="华文中宋"/>
          <w:bCs/>
          <w:color w:val="auto"/>
          <w:sz w:val="24"/>
          <w:szCs w:val="24"/>
        </w:rPr>
        <w:t>采购人：娄底市万宝新区开发投资集团有限公司</w:t>
      </w:r>
    </w:p>
    <w:p w14:paraId="7C9988EC">
      <w:pPr>
        <w:adjustRightInd w:val="0"/>
        <w:snapToGrid w:val="0"/>
        <w:spacing w:line="360" w:lineRule="auto"/>
        <w:ind w:firstLine="843" w:firstLineChars="350"/>
        <w:rPr>
          <w:rFonts w:ascii="宋体"/>
          <w:b/>
          <w:color w:val="auto"/>
          <w:sz w:val="24"/>
          <w:szCs w:val="18"/>
        </w:rPr>
      </w:pPr>
    </w:p>
    <w:p w14:paraId="64B240A8">
      <w:pPr>
        <w:pStyle w:val="19"/>
        <w:adjustRightInd w:val="0"/>
        <w:snapToGrid w:val="0"/>
        <w:spacing w:line="360" w:lineRule="auto"/>
        <w:jc w:val="center"/>
        <w:rPr>
          <w:rFonts w:hAnsi="宋体"/>
          <w:bCs/>
          <w:color w:val="auto"/>
          <w:sz w:val="32"/>
          <w:szCs w:val="32"/>
        </w:rPr>
      </w:pPr>
    </w:p>
    <w:p w14:paraId="31EB9AF5">
      <w:pPr>
        <w:pStyle w:val="19"/>
        <w:adjustRightInd w:val="0"/>
        <w:snapToGrid w:val="0"/>
        <w:spacing w:line="240" w:lineRule="atLeast"/>
        <w:jc w:val="center"/>
        <w:rPr>
          <w:rFonts w:hAnsi="宋体"/>
          <w:bCs/>
          <w:color w:val="auto"/>
          <w:sz w:val="32"/>
          <w:szCs w:val="32"/>
        </w:rPr>
      </w:pPr>
    </w:p>
    <w:p w14:paraId="0A24B2BD">
      <w:pPr>
        <w:pStyle w:val="19"/>
        <w:adjustRightInd w:val="0"/>
        <w:snapToGrid w:val="0"/>
        <w:spacing w:line="240" w:lineRule="atLeast"/>
        <w:jc w:val="center"/>
        <w:rPr>
          <w:rFonts w:hAnsi="宋体"/>
          <w:bCs/>
          <w:color w:val="auto"/>
          <w:sz w:val="32"/>
          <w:szCs w:val="32"/>
        </w:rPr>
      </w:pPr>
    </w:p>
    <w:p w14:paraId="008A621A">
      <w:pPr>
        <w:pStyle w:val="19"/>
        <w:adjustRightInd w:val="0"/>
        <w:snapToGrid w:val="0"/>
        <w:spacing w:line="240" w:lineRule="atLeast"/>
        <w:rPr>
          <w:rFonts w:hAnsi="宋体"/>
          <w:bCs/>
          <w:color w:val="auto"/>
          <w:sz w:val="32"/>
          <w:szCs w:val="32"/>
        </w:rPr>
      </w:pPr>
    </w:p>
    <w:p w14:paraId="720A52A5">
      <w:pPr>
        <w:pStyle w:val="19"/>
        <w:adjustRightInd w:val="0"/>
        <w:snapToGrid w:val="0"/>
        <w:spacing w:line="240" w:lineRule="atLeast"/>
        <w:jc w:val="center"/>
        <w:rPr>
          <w:rFonts w:hAnsi="宋体"/>
          <w:bCs/>
          <w:color w:val="auto"/>
          <w:sz w:val="32"/>
          <w:szCs w:val="32"/>
        </w:rPr>
      </w:pPr>
    </w:p>
    <w:p w14:paraId="40D0788B">
      <w:pPr>
        <w:pStyle w:val="19"/>
        <w:adjustRightInd w:val="0"/>
        <w:snapToGrid w:val="0"/>
        <w:spacing w:line="240" w:lineRule="atLeast"/>
        <w:jc w:val="center"/>
        <w:rPr>
          <w:rFonts w:hAnsi="宋体"/>
          <w:bCs/>
          <w:color w:val="auto"/>
          <w:sz w:val="32"/>
          <w:szCs w:val="32"/>
        </w:rPr>
      </w:pPr>
    </w:p>
    <w:p w14:paraId="27B8411A">
      <w:pPr>
        <w:pStyle w:val="19"/>
        <w:adjustRightInd w:val="0"/>
        <w:snapToGrid w:val="0"/>
        <w:spacing w:line="240" w:lineRule="atLeast"/>
        <w:jc w:val="center"/>
        <w:rPr>
          <w:rFonts w:hAnsi="宋体"/>
          <w:bCs/>
          <w:color w:val="auto"/>
          <w:sz w:val="32"/>
          <w:szCs w:val="32"/>
        </w:rPr>
      </w:pPr>
    </w:p>
    <w:p w14:paraId="32434929">
      <w:pPr>
        <w:pStyle w:val="19"/>
        <w:adjustRightInd w:val="0"/>
        <w:snapToGrid w:val="0"/>
        <w:spacing w:line="240" w:lineRule="atLeast"/>
        <w:jc w:val="center"/>
        <w:rPr>
          <w:rFonts w:hAnsi="宋体"/>
          <w:b/>
          <w:bCs/>
          <w:color w:val="auto"/>
          <w:sz w:val="32"/>
          <w:szCs w:val="32"/>
        </w:rPr>
      </w:pPr>
      <w:r>
        <w:rPr>
          <w:rFonts w:hint="eastAsia" w:hAnsi="宋体"/>
          <w:b/>
          <w:color w:val="auto"/>
          <w:sz w:val="32"/>
        </w:rPr>
        <w:t>2025年9月</w:t>
      </w:r>
    </w:p>
    <w:p w14:paraId="6AC7754E">
      <w:pPr>
        <w:pStyle w:val="19"/>
        <w:adjustRightInd w:val="0"/>
        <w:snapToGrid w:val="0"/>
        <w:spacing w:line="240" w:lineRule="atLeast"/>
        <w:rPr>
          <w:rFonts w:hAnsi="宋体"/>
          <w:b/>
          <w:bCs/>
          <w:color w:val="auto"/>
          <w:sz w:val="32"/>
          <w:szCs w:val="32"/>
        </w:rPr>
        <w:sectPr>
          <w:headerReference r:id="rId3" w:type="default"/>
          <w:pgSz w:w="11906" w:h="16838"/>
          <w:pgMar w:top="1440" w:right="1588" w:bottom="1440" w:left="1588" w:header="851" w:footer="992" w:gutter="0"/>
          <w:cols w:space="720" w:num="1"/>
          <w:docGrid w:type="lines" w:linePitch="312" w:charSpace="0"/>
        </w:sectPr>
      </w:pPr>
    </w:p>
    <w:p w14:paraId="412C77B6">
      <w:pPr>
        <w:pStyle w:val="19"/>
        <w:adjustRightInd w:val="0"/>
        <w:snapToGrid w:val="0"/>
        <w:spacing w:line="360" w:lineRule="auto"/>
        <w:jc w:val="center"/>
        <w:rPr>
          <w:rFonts w:ascii="华文中宋" w:hAnsi="华文中宋" w:eastAsia="华文中宋"/>
          <w:b/>
          <w:color w:val="auto"/>
          <w:spacing w:val="160"/>
          <w:sz w:val="36"/>
          <w:szCs w:val="36"/>
        </w:rPr>
      </w:pPr>
      <w:r>
        <w:rPr>
          <w:rFonts w:hint="eastAsia" w:ascii="华文中宋" w:hAnsi="华文中宋" w:eastAsia="华文中宋"/>
          <w:b/>
          <w:color w:val="auto"/>
          <w:spacing w:val="160"/>
          <w:sz w:val="36"/>
          <w:szCs w:val="36"/>
        </w:rPr>
        <w:t>目录</w:t>
      </w:r>
    </w:p>
    <w:p w14:paraId="248BE49E">
      <w:pPr>
        <w:pStyle w:val="25"/>
        <w:tabs>
          <w:tab w:val="right" w:leader="dot" w:pos="8844"/>
        </w:tabs>
        <w:spacing w:line="480" w:lineRule="auto"/>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"_Toc4820" </w:instrText>
      </w:r>
      <w:r>
        <w:rPr>
          <w:color w:val="auto"/>
        </w:rPr>
        <w:fldChar w:fldCharType="separate"/>
      </w:r>
      <w:r>
        <w:rPr>
          <w:rFonts w:hint="eastAsia" w:ascii="黑体" w:hAnsi="华文中宋" w:eastAsia="黑体"/>
          <w:color w:val="auto"/>
          <w:szCs w:val="32"/>
        </w:rPr>
        <w:t>第一章 投标邀请（询价比选）</w:t>
      </w:r>
      <w:r>
        <w:rPr>
          <w:color w:val="auto"/>
        </w:rPr>
        <w:tab/>
      </w:r>
      <w:r>
        <w:rPr>
          <w:color w:val="auto"/>
        </w:rPr>
        <w:fldChar w:fldCharType="begin"/>
      </w:r>
      <w:r>
        <w:rPr>
          <w:color w:val="auto"/>
        </w:rPr>
        <w:instrText xml:space="preserve"> PAGEREF _Toc4820 \h </w:instrText>
      </w:r>
      <w:r>
        <w:rPr>
          <w:color w:val="auto"/>
        </w:rPr>
        <w:fldChar w:fldCharType="separate"/>
      </w:r>
      <w:r>
        <w:rPr>
          <w:color w:val="auto"/>
        </w:rPr>
        <w:t>2</w:t>
      </w:r>
      <w:r>
        <w:rPr>
          <w:color w:val="auto"/>
        </w:rPr>
        <w:fldChar w:fldCharType="end"/>
      </w:r>
      <w:r>
        <w:rPr>
          <w:color w:val="auto"/>
        </w:rPr>
        <w:fldChar w:fldCharType="end"/>
      </w:r>
    </w:p>
    <w:p w14:paraId="5BB176B5">
      <w:pPr>
        <w:pStyle w:val="25"/>
        <w:tabs>
          <w:tab w:val="right" w:leader="dot" w:pos="8844"/>
        </w:tabs>
        <w:spacing w:line="480" w:lineRule="auto"/>
        <w:rPr>
          <w:color w:val="auto"/>
        </w:rPr>
      </w:pPr>
      <w:r>
        <w:rPr>
          <w:color w:val="auto"/>
        </w:rPr>
        <w:fldChar w:fldCharType="begin"/>
      </w:r>
      <w:r>
        <w:rPr>
          <w:color w:val="auto"/>
        </w:rPr>
        <w:instrText xml:space="preserve"> HYPERLINK \l "_Toc929" </w:instrText>
      </w:r>
      <w:r>
        <w:rPr>
          <w:color w:val="auto"/>
        </w:rPr>
        <w:fldChar w:fldCharType="separate"/>
      </w:r>
      <w:r>
        <w:rPr>
          <w:rFonts w:hint="eastAsia" w:ascii="黑体" w:hAnsi="华文中宋" w:eastAsia="黑体"/>
          <w:color w:val="auto"/>
          <w:szCs w:val="32"/>
        </w:rPr>
        <w:t>第二章 投标须知</w:t>
      </w:r>
      <w:r>
        <w:rPr>
          <w:color w:val="auto"/>
        </w:rPr>
        <w:tab/>
      </w:r>
      <w:r>
        <w:rPr>
          <w:color w:val="auto"/>
        </w:rPr>
        <w:fldChar w:fldCharType="begin"/>
      </w:r>
      <w:r>
        <w:rPr>
          <w:color w:val="auto"/>
        </w:rPr>
        <w:instrText xml:space="preserve"> PAGEREF _Toc929 \h </w:instrText>
      </w:r>
      <w:r>
        <w:rPr>
          <w:color w:val="auto"/>
        </w:rPr>
        <w:fldChar w:fldCharType="separate"/>
      </w:r>
      <w:r>
        <w:rPr>
          <w:color w:val="auto"/>
        </w:rPr>
        <w:t>5</w:t>
      </w:r>
      <w:r>
        <w:rPr>
          <w:color w:val="auto"/>
        </w:rPr>
        <w:fldChar w:fldCharType="end"/>
      </w:r>
      <w:r>
        <w:rPr>
          <w:color w:val="auto"/>
        </w:rPr>
        <w:fldChar w:fldCharType="end"/>
      </w:r>
    </w:p>
    <w:p w14:paraId="381AF849">
      <w:pPr>
        <w:pStyle w:val="25"/>
        <w:tabs>
          <w:tab w:val="right" w:leader="dot" w:pos="8844"/>
        </w:tabs>
        <w:spacing w:line="480" w:lineRule="auto"/>
        <w:rPr>
          <w:color w:val="auto"/>
        </w:rPr>
      </w:pPr>
      <w:r>
        <w:rPr>
          <w:color w:val="auto"/>
        </w:rPr>
        <w:fldChar w:fldCharType="begin"/>
      </w:r>
      <w:r>
        <w:rPr>
          <w:color w:val="auto"/>
        </w:rPr>
        <w:instrText xml:space="preserve"> HYPERLINK \l "_Toc14320" </w:instrText>
      </w:r>
      <w:r>
        <w:rPr>
          <w:color w:val="auto"/>
        </w:rPr>
        <w:fldChar w:fldCharType="separate"/>
      </w:r>
      <w:r>
        <w:rPr>
          <w:rFonts w:hint="eastAsia" w:ascii="黑体" w:hAnsi="黑体" w:eastAsia="黑体"/>
          <w:color w:val="auto"/>
          <w:szCs w:val="32"/>
        </w:rPr>
        <w:t>第三章 资格审查</w:t>
      </w:r>
      <w:r>
        <w:rPr>
          <w:color w:val="auto"/>
        </w:rPr>
        <w:tab/>
      </w:r>
      <w:r>
        <w:rPr>
          <w:color w:val="auto"/>
        </w:rPr>
        <w:fldChar w:fldCharType="begin"/>
      </w:r>
      <w:r>
        <w:rPr>
          <w:color w:val="auto"/>
        </w:rPr>
        <w:instrText xml:space="preserve"> PAGEREF _Toc14320 \h </w:instrText>
      </w:r>
      <w:r>
        <w:rPr>
          <w:color w:val="auto"/>
        </w:rPr>
        <w:fldChar w:fldCharType="separate"/>
      </w:r>
      <w:r>
        <w:rPr>
          <w:color w:val="auto"/>
        </w:rPr>
        <w:t>18</w:t>
      </w:r>
      <w:r>
        <w:rPr>
          <w:color w:val="auto"/>
        </w:rPr>
        <w:fldChar w:fldCharType="end"/>
      </w:r>
      <w:r>
        <w:rPr>
          <w:color w:val="auto"/>
        </w:rPr>
        <w:fldChar w:fldCharType="end"/>
      </w:r>
    </w:p>
    <w:p w14:paraId="64A3649E">
      <w:pPr>
        <w:pStyle w:val="25"/>
        <w:tabs>
          <w:tab w:val="right" w:leader="dot" w:pos="8844"/>
        </w:tabs>
        <w:spacing w:line="480" w:lineRule="auto"/>
        <w:rPr>
          <w:color w:val="auto"/>
        </w:rPr>
      </w:pPr>
      <w:r>
        <w:rPr>
          <w:color w:val="auto"/>
        </w:rPr>
        <w:fldChar w:fldCharType="begin"/>
      </w:r>
      <w:r>
        <w:rPr>
          <w:color w:val="auto"/>
        </w:rPr>
        <w:instrText xml:space="preserve"> HYPERLINK \l "_Toc4238" </w:instrText>
      </w:r>
      <w:r>
        <w:rPr>
          <w:color w:val="auto"/>
        </w:rPr>
        <w:fldChar w:fldCharType="separate"/>
      </w:r>
      <w:r>
        <w:rPr>
          <w:rFonts w:hint="eastAsia" w:ascii="黑体" w:hAnsi="华文中宋" w:eastAsia="黑体"/>
          <w:color w:val="auto"/>
          <w:szCs w:val="32"/>
        </w:rPr>
        <w:t>第四章 评标方法及标准</w:t>
      </w:r>
      <w:r>
        <w:rPr>
          <w:color w:val="auto"/>
        </w:rPr>
        <w:tab/>
      </w:r>
      <w:r>
        <w:rPr>
          <w:color w:val="auto"/>
        </w:rPr>
        <w:fldChar w:fldCharType="begin"/>
      </w:r>
      <w:r>
        <w:rPr>
          <w:color w:val="auto"/>
        </w:rPr>
        <w:instrText xml:space="preserve"> PAGEREF _Toc4238 \h </w:instrText>
      </w:r>
      <w:r>
        <w:rPr>
          <w:color w:val="auto"/>
        </w:rPr>
        <w:fldChar w:fldCharType="separate"/>
      </w:r>
      <w:r>
        <w:rPr>
          <w:color w:val="auto"/>
        </w:rPr>
        <w:t>21</w:t>
      </w:r>
      <w:r>
        <w:rPr>
          <w:color w:val="auto"/>
        </w:rPr>
        <w:fldChar w:fldCharType="end"/>
      </w:r>
      <w:r>
        <w:rPr>
          <w:color w:val="auto"/>
        </w:rPr>
        <w:fldChar w:fldCharType="end"/>
      </w:r>
    </w:p>
    <w:p w14:paraId="21BABAD2">
      <w:pPr>
        <w:pStyle w:val="25"/>
        <w:tabs>
          <w:tab w:val="right" w:leader="dot" w:pos="8844"/>
        </w:tabs>
        <w:spacing w:line="480" w:lineRule="auto"/>
        <w:rPr>
          <w:color w:val="auto"/>
        </w:rPr>
      </w:pPr>
      <w:r>
        <w:rPr>
          <w:color w:val="auto"/>
        </w:rPr>
        <w:fldChar w:fldCharType="begin"/>
      </w:r>
      <w:r>
        <w:rPr>
          <w:color w:val="auto"/>
        </w:rPr>
        <w:instrText xml:space="preserve"> HYPERLINK \l "_Toc18690" </w:instrText>
      </w:r>
      <w:r>
        <w:rPr>
          <w:color w:val="auto"/>
        </w:rPr>
        <w:fldChar w:fldCharType="separate"/>
      </w:r>
      <w:r>
        <w:rPr>
          <w:rFonts w:hint="eastAsia" w:ascii="黑体" w:hAnsi="华文中宋" w:eastAsia="黑体"/>
          <w:color w:val="auto"/>
          <w:szCs w:val="32"/>
        </w:rPr>
        <w:t>第五章 采购需求</w:t>
      </w:r>
      <w:r>
        <w:rPr>
          <w:color w:val="auto"/>
        </w:rPr>
        <w:tab/>
      </w:r>
      <w:r>
        <w:rPr>
          <w:color w:val="auto"/>
        </w:rPr>
        <w:fldChar w:fldCharType="begin"/>
      </w:r>
      <w:r>
        <w:rPr>
          <w:color w:val="auto"/>
        </w:rPr>
        <w:instrText xml:space="preserve"> PAGEREF _Toc18690 \h </w:instrText>
      </w:r>
      <w:r>
        <w:rPr>
          <w:color w:val="auto"/>
        </w:rPr>
        <w:fldChar w:fldCharType="separate"/>
      </w:r>
      <w:r>
        <w:rPr>
          <w:color w:val="auto"/>
        </w:rPr>
        <w:t>33</w:t>
      </w:r>
      <w:r>
        <w:rPr>
          <w:color w:val="auto"/>
        </w:rPr>
        <w:fldChar w:fldCharType="end"/>
      </w:r>
      <w:r>
        <w:rPr>
          <w:color w:val="auto"/>
        </w:rPr>
        <w:fldChar w:fldCharType="end"/>
      </w:r>
    </w:p>
    <w:p w14:paraId="073C948C">
      <w:pPr>
        <w:pStyle w:val="25"/>
        <w:tabs>
          <w:tab w:val="right" w:leader="dot" w:pos="8844"/>
        </w:tabs>
        <w:spacing w:line="480" w:lineRule="auto"/>
        <w:rPr>
          <w:color w:val="auto"/>
        </w:rPr>
      </w:pPr>
      <w:r>
        <w:rPr>
          <w:color w:val="auto"/>
        </w:rPr>
        <w:fldChar w:fldCharType="begin"/>
      </w:r>
      <w:r>
        <w:rPr>
          <w:color w:val="auto"/>
        </w:rPr>
        <w:instrText xml:space="preserve"> HYPERLINK \l "_Toc1202" </w:instrText>
      </w:r>
      <w:r>
        <w:rPr>
          <w:color w:val="auto"/>
        </w:rPr>
        <w:fldChar w:fldCharType="separate"/>
      </w:r>
      <w:r>
        <w:rPr>
          <w:rFonts w:hint="eastAsia" w:ascii="黑体" w:hAnsi="华文中宋" w:eastAsia="黑体"/>
          <w:color w:val="auto"/>
          <w:szCs w:val="32"/>
        </w:rPr>
        <w:t>第六章 合同</w:t>
      </w:r>
      <w:r>
        <w:rPr>
          <w:color w:val="auto"/>
        </w:rPr>
        <w:tab/>
      </w:r>
      <w:r>
        <w:rPr>
          <w:color w:val="auto"/>
        </w:rPr>
        <w:fldChar w:fldCharType="begin"/>
      </w:r>
      <w:r>
        <w:rPr>
          <w:color w:val="auto"/>
        </w:rPr>
        <w:instrText xml:space="preserve"> PAGEREF _Toc1202 \h </w:instrText>
      </w:r>
      <w:r>
        <w:rPr>
          <w:color w:val="auto"/>
        </w:rPr>
        <w:fldChar w:fldCharType="separate"/>
      </w:r>
      <w:r>
        <w:rPr>
          <w:color w:val="auto"/>
        </w:rPr>
        <w:t>36</w:t>
      </w:r>
      <w:r>
        <w:rPr>
          <w:color w:val="auto"/>
        </w:rPr>
        <w:fldChar w:fldCharType="end"/>
      </w:r>
      <w:r>
        <w:rPr>
          <w:color w:val="auto"/>
        </w:rPr>
        <w:fldChar w:fldCharType="end"/>
      </w:r>
    </w:p>
    <w:p w14:paraId="2C2CAEFF">
      <w:pPr>
        <w:pStyle w:val="25"/>
        <w:tabs>
          <w:tab w:val="right" w:leader="dot" w:pos="8844"/>
        </w:tabs>
        <w:spacing w:line="480" w:lineRule="auto"/>
        <w:rPr>
          <w:color w:val="auto"/>
        </w:rPr>
      </w:pPr>
      <w:r>
        <w:rPr>
          <w:color w:val="auto"/>
        </w:rPr>
        <w:fldChar w:fldCharType="begin"/>
      </w:r>
      <w:r>
        <w:rPr>
          <w:color w:val="auto"/>
        </w:rPr>
        <w:instrText xml:space="preserve"> HYPERLINK \l "_Toc31352" </w:instrText>
      </w:r>
      <w:r>
        <w:rPr>
          <w:color w:val="auto"/>
        </w:rPr>
        <w:fldChar w:fldCharType="separate"/>
      </w:r>
      <w:r>
        <w:rPr>
          <w:rFonts w:hint="eastAsia" w:ascii="黑体" w:hAnsi="华文中宋" w:eastAsia="黑体"/>
          <w:color w:val="auto"/>
          <w:szCs w:val="32"/>
        </w:rPr>
        <w:t>第七章 投标文件的组成</w:t>
      </w:r>
      <w:r>
        <w:rPr>
          <w:color w:val="auto"/>
        </w:rPr>
        <w:tab/>
      </w:r>
      <w:r>
        <w:rPr>
          <w:color w:val="auto"/>
        </w:rPr>
        <w:fldChar w:fldCharType="begin"/>
      </w:r>
      <w:r>
        <w:rPr>
          <w:color w:val="auto"/>
        </w:rPr>
        <w:instrText xml:space="preserve"> PAGEREF _Toc31352 \h </w:instrText>
      </w:r>
      <w:r>
        <w:rPr>
          <w:color w:val="auto"/>
        </w:rPr>
        <w:fldChar w:fldCharType="separate"/>
      </w:r>
      <w:r>
        <w:rPr>
          <w:color w:val="auto"/>
        </w:rPr>
        <w:t>50</w:t>
      </w:r>
      <w:r>
        <w:rPr>
          <w:color w:val="auto"/>
        </w:rPr>
        <w:fldChar w:fldCharType="end"/>
      </w:r>
      <w:r>
        <w:rPr>
          <w:color w:val="auto"/>
        </w:rPr>
        <w:fldChar w:fldCharType="end"/>
      </w:r>
    </w:p>
    <w:p w14:paraId="3324501E">
      <w:pPr>
        <w:spacing w:line="480" w:lineRule="auto"/>
        <w:rPr>
          <w:color w:val="auto"/>
        </w:rPr>
      </w:pPr>
      <w:r>
        <w:rPr>
          <w:color w:val="auto"/>
        </w:rPr>
        <w:fldChar w:fldCharType="end"/>
      </w:r>
    </w:p>
    <w:p w14:paraId="5D3D4AB7">
      <w:pPr>
        <w:pStyle w:val="19"/>
        <w:adjustRightInd w:val="0"/>
        <w:snapToGrid w:val="0"/>
        <w:spacing w:line="360" w:lineRule="auto"/>
        <w:outlineLvl w:val="0"/>
        <w:rPr>
          <w:rFonts w:hAnsi="宋体"/>
          <w:color w:val="auto"/>
        </w:rPr>
      </w:pPr>
      <w:r>
        <w:rPr>
          <w:rFonts w:hAnsi="宋体"/>
          <w:color w:val="auto"/>
        </w:rPr>
        <w:t xml:space="preserve"> </w:t>
      </w:r>
    </w:p>
    <w:p w14:paraId="7ED28C91">
      <w:pPr>
        <w:adjustRightInd w:val="0"/>
        <w:snapToGrid w:val="0"/>
        <w:spacing w:line="240" w:lineRule="atLeast"/>
        <w:ind w:firstLine="840" w:firstLineChars="400"/>
        <w:rPr>
          <w:rFonts w:ascii="宋体" w:hAnsi="宋体"/>
          <w:color w:val="auto"/>
          <w:szCs w:val="21"/>
        </w:rPr>
      </w:pPr>
    </w:p>
    <w:p w14:paraId="416D0071">
      <w:pPr>
        <w:pStyle w:val="12"/>
        <w:spacing w:before="312" w:after="156"/>
        <w:rPr>
          <w:color w:val="auto"/>
        </w:rPr>
        <w:sectPr>
          <w:headerReference r:id="rId4" w:type="default"/>
          <w:footerReference r:id="rId5" w:type="default"/>
          <w:pgSz w:w="11906" w:h="16838"/>
          <w:pgMar w:top="1474" w:right="1474" w:bottom="1474" w:left="1588" w:header="851" w:footer="992" w:gutter="0"/>
          <w:pgNumType w:start="1"/>
          <w:cols w:space="720" w:num="1"/>
          <w:docGrid w:type="lines" w:linePitch="312" w:charSpace="0"/>
        </w:sectPr>
      </w:pPr>
      <w:bookmarkStart w:id="0" w:name="_Toc53472201"/>
      <w:bookmarkStart w:id="1" w:name="_Toc20816073"/>
      <w:bookmarkStart w:id="2" w:name="_Toc21000471"/>
      <w:bookmarkStart w:id="3" w:name="_Toc34720698"/>
      <w:bookmarkStart w:id="4" w:name="_Toc35421027"/>
      <w:bookmarkStart w:id="5" w:name="_Toc20642243"/>
      <w:bookmarkStart w:id="6" w:name="_Toc20988241"/>
      <w:bookmarkStart w:id="7" w:name="_Toc21001314"/>
    </w:p>
    <w:p w14:paraId="61813096">
      <w:pPr>
        <w:pStyle w:val="12"/>
        <w:spacing w:before="312" w:after="156"/>
        <w:rPr>
          <w:color w:val="auto"/>
        </w:rPr>
      </w:pPr>
      <w:bookmarkStart w:id="8" w:name="_Toc4820"/>
      <w:bookmarkStart w:id="9" w:name="_Toc27845"/>
      <w:bookmarkStart w:id="10" w:name="_Toc2173"/>
      <w:r>
        <w:rPr>
          <w:rFonts w:hint="eastAsia"/>
          <w:color w:val="auto"/>
        </w:rPr>
        <w:t>第一章 投标邀请（询价比选）</w:t>
      </w:r>
      <w:bookmarkEnd w:id="8"/>
      <w:bookmarkEnd w:id="9"/>
      <w:bookmarkEnd w:id="10"/>
    </w:p>
    <w:p w14:paraId="3913B42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u w:val="single"/>
        </w:rPr>
        <w:t xml:space="preserve"> 娄底市万宝新区开发投资集团有限公司 </w:t>
      </w:r>
      <w:r>
        <w:rPr>
          <w:rFonts w:hint="eastAsia" w:ascii="宋体" w:hAnsi="宋体"/>
          <w:color w:val="auto"/>
          <w:szCs w:val="21"/>
        </w:rPr>
        <w:t>（采购人名称）的</w:t>
      </w:r>
      <w:r>
        <w:rPr>
          <w:rFonts w:hint="eastAsia" w:ascii="宋体" w:hAnsi="宋体"/>
          <w:color w:val="auto"/>
          <w:szCs w:val="21"/>
          <w:u w:val="single"/>
        </w:rPr>
        <w:t>娄底水府示范片万宝新区娄星南路北段及众园路建设工程（万宝新区众园路西段（GK0+200~GK0+902.924、K0+528.557~K1+300</w:t>
      </w:r>
      <w:r>
        <w:rPr>
          <w:rFonts w:hint="eastAsia" w:ascii="宋体" w:hAnsi="宋体"/>
          <w:color w:val="auto"/>
          <w:szCs w:val="21"/>
          <w:u w:val="single"/>
          <w:lang w:eastAsia="zh-CN"/>
        </w:rPr>
        <w:t>）</w:t>
      </w:r>
      <w:r>
        <w:rPr>
          <w:rFonts w:hint="eastAsia" w:ascii="宋体" w:hAnsi="宋体"/>
          <w:color w:val="auto"/>
          <w:szCs w:val="21"/>
          <w:u w:val="single"/>
        </w:rPr>
        <w:t>）结算审核造价咨询服务</w:t>
      </w:r>
      <w:r>
        <w:rPr>
          <w:rFonts w:hint="eastAsia" w:ascii="宋体" w:hAnsi="宋体"/>
          <w:color w:val="auto"/>
          <w:szCs w:val="21"/>
        </w:rPr>
        <w:t>(项目名称)进行公开询价比选，现邀请合格投标人参加。</w:t>
      </w:r>
    </w:p>
    <w:p w14:paraId="4556F529">
      <w:pPr>
        <w:adjustRightInd w:val="0"/>
        <w:snapToGrid w:val="0"/>
        <w:spacing w:line="360" w:lineRule="auto"/>
        <w:ind w:firstLine="420" w:firstLineChars="200"/>
        <w:rPr>
          <w:rFonts w:ascii="宋体" w:hAnsi="宋体"/>
          <w:b/>
          <w:color w:val="auto"/>
          <w:szCs w:val="21"/>
        </w:rPr>
      </w:pPr>
      <w:r>
        <w:rPr>
          <w:rFonts w:hint="eastAsia" w:ascii="宋体" w:hAnsi="宋体"/>
          <w:b/>
          <w:color w:val="auto"/>
          <w:szCs w:val="21"/>
        </w:rPr>
        <w:t>一、采购项目基本信息</w:t>
      </w:r>
    </w:p>
    <w:p w14:paraId="40C05F29">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1、采购项目名称：</w:t>
      </w:r>
      <w:r>
        <w:rPr>
          <w:rFonts w:hint="eastAsia" w:ascii="宋体" w:hAnsi="宋体"/>
          <w:color w:val="auto"/>
          <w:szCs w:val="21"/>
          <w:u w:val="single"/>
        </w:rPr>
        <w:t>娄底水府示范片万宝新区娄星南路北段及众园路建设工程结算审核造价咨询服务</w:t>
      </w:r>
    </w:p>
    <w:p w14:paraId="410B25B1">
      <w:pPr>
        <w:adjustRightInd w:val="0"/>
        <w:snapToGrid w:val="0"/>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2、工程造价咨询服务范围：</w:t>
      </w:r>
      <w:r>
        <w:rPr>
          <w:rFonts w:hint="eastAsia" w:ascii="宋体" w:hAnsi="宋体" w:cs="Times New Roman"/>
          <w:color w:val="auto"/>
          <w:szCs w:val="21"/>
        </w:rPr>
        <w:t>娄底水府示范片万宝新区众园路西段（GK0+200~GK0+902.924、K0+528.557~K1+300）工程结算审核</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施工单位结算送审金额16951.08万元</w:t>
      </w:r>
      <w:r>
        <w:rPr>
          <w:rFonts w:hint="eastAsia" w:ascii="宋体" w:hAnsi="宋体" w:cs="Times New Roman"/>
          <w:color w:val="auto"/>
          <w:szCs w:val="21"/>
        </w:rPr>
        <w:t>。主要包括道路工程、排水工程、人行道工程、市政管沟工程、标识标牌工程等及因道路施工造成水、电、气、路等改造需施工单位实施的工作内容的竣工结算审核造价咨询服务</w:t>
      </w:r>
      <w:r>
        <w:rPr>
          <w:rFonts w:hint="eastAsia" w:ascii="宋体" w:hAnsi="宋体" w:cs="Times New Roman"/>
          <w:color w:val="auto"/>
          <w:szCs w:val="21"/>
          <w:lang w:eastAsia="zh-CN"/>
        </w:rPr>
        <w:t>。</w:t>
      </w:r>
    </w:p>
    <w:p w14:paraId="51525FBA">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3、采购项目最高限价：</w:t>
      </w:r>
      <w:r>
        <w:rPr>
          <w:rFonts w:hint="eastAsia" w:ascii="宋体" w:hAnsi="宋体"/>
          <w:bCs/>
          <w:color w:val="auto"/>
          <w:szCs w:val="21"/>
          <w:u w:val="single"/>
        </w:rPr>
        <w:t>3</w:t>
      </w:r>
      <w:r>
        <w:rPr>
          <w:rFonts w:hint="eastAsia" w:ascii="宋体" w:hAnsi="宋体"/>
          <w:bCs/>
          <w:color w:val="auto"/>
          <w:szCs w:val="21"/>
          <w:u w:val="single"/>
          <w:lang w:val="en-US" w:eastAsia="zh-CN"/>
        </w:rPr>
        <w:t>1.43</w:t>
      </w:r>
      <w:r>
        <w:rPr>
          <w:rFonts w:hint="eastAsia" w:ascii="宋体" w:hAnsi="宋体"/>
          <w:bCs/>
          <w:color w:val="auto"/>
          <w:szCs w:val="21"/>
          <w:u w:val="single"/>
        </w:rPr>
        <w:t>万元</w:t>
      </w:r>
      <w:r>
        <w:rPr>
          <w:rFonts w:hint="eastAsia" w:ascii="宋体" w:hAnsi="宋体"/>
          <w:bCs/>
          <w:color w:val="auto"/>
          <w:szCs w:val="21"/>
        </w:rPr>
        <w:t xml:space="preserve">（小数点后保留2位）   </w:t>
      </w:r>
    </w:p>
    <w:p w14:paraId="456EA255">
      <w:pPr>
        <w:adjustRightInd w:val="0"/>
        <w:snapToGrid w:val="0"/>
        <w:spacing w:line="360" w:lineRule="auto"/>
        <w:ind w:firstLine="420" w:firstLineChars="200"/>
        <w:rPr>
          <w:rFonts w:ascii="宋体" w:hAnsi="宋体"/>
          <w:iCs/>
          <w:color w:val="auto"/>
          <w:szCs w:val="21"/>
        </w:rPr>
      </w:pPr>
      <w:r>
        <w:rPr>
          <w:rFonts w:hint="eastAsia" w:ascii="宋体" w:hAnsi="宋体"/>
          <w:iCs/>
          <w:color w:val="auto"/>
          <w:szCs w:val="21"/>
        </w:rPr>
        <w:t xml:space="preserve">3、评标方法：综合评分法 </w:t>
      </w:r>
    </w:p>
    <w:p w14:paraId="7532193C">
      <w:pPr>
        <w:adjustRightInd w:val="0"/>
        <w:snapToGrid w:val="0"/>
        <w:spacing w:line="360" w:lineRule="auto"/>
        <w:ind w:firstLine="420" w:firstLineChars="200"/>
        <w:rPr>
          <w:rFonts w:ascii="宋体" w:hAnsi="宋体"/>
          <w:iCs/>
          <w:color w:val="auto"/>
          <w:szCs w:val="21"/>
        </w:rPr>
      </w:pPr>
      <w:r>
        <w:rPr>
          <w:rFonts w:hint="eastAsia" w:ascii="宋体" w:hAnsi="宋体"/>
          <w:iCs/>
          <w:color w:val="auto"/>
          <w:szCs w:val="21"/>
        </w:rPr>
        <w:t>4、合同定价方式：</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p>
    <w:p w14:paraId="76C598D3">
      <w:pPr>
        <w:adjustRightInd w:val="0"/>
        <w:snapToGrid w:val="0"/>
        <w:spacing w:line="360" w:lineRule="auto"/>
        <w:ind w:firstLine="420" w:firstLineChars="200"/>
        <w:rPr>
          <w:rFonts w:ascii="宋体" w:hAnsi="宋体"/>
          <w:iCs/>
          <w:color w:val="auto"/>
          <w:szCs w:val="21"/>
          <w:u w:val="single"/>
        </w:rPr>
      </w:pPr>
      <w:r>
        <w:rPr>
          <w:rFonts w:hint="eastAsia" w:ascii="宋体" w:hAnsi="宋体"/>
          <w:iCs/>
          <w:color w:val="auto"/>
          <w:szCs w:val="21"/>
        </w:rPr>
        <w:t>5、合同履行期限：</w:t>
      </w:r>
      <w:r>
        <w:rPr>
          <w:rFonts w:hint="eastAsia" w:ascii="宋体" w:hAnsi="宋体"/>
          <w:iCs/>
          <w:color w:val="auto"/>
          <w:szCs w:val="21"/>
          <w:u w:val="single"/>
        </w:rPr>
        <w:t>120日历天。</w:t>
      </w:r>
    </w:p>
    <w:p w14:paraId="52EBE0EA">
      <w:pPr>
        <w:adjustRightInd w:val="0"/>
        <w:snapToGrid w:val="0"/>
        <w:spacing w:line="360" w:lineRule="auto"/>
        <w:ind w:firstLine="420" w:firstLineChars="200"/>
        <w:rPr>
          <w:rFonts w:ascii="宋体" w:hAnsi="宋体"/>
          <w:color w:val="auto"/>
          <w:szCs w:val="21"/>
        </w:rPr>
      </w:pPr>
      <w:r>
        <w:rPr>
          <w:rFonts w:hint="eastAsia" w:ascii="宋体" w:hAnsi="宋体"/>
          <w:b/>
          <w:color w:val="auto"/>
          <w:szCs w:val="21"/>
        </w:rPr>
        <w:t>二、投标人的资格要求</w:t>
      </w:r>
      <w:r>
        <w:rPr>
          <w:rFonts w:hint="eastAsia" w:ascii="宋体" w:hAnsi="宋体"/>
          <w:color w:val="auto"/>
          <w:szCs w:val="21"/>
        </w:rPr>
        <w:t>：</w:t>
      </w:r>
    </w:p>
    <w:p w14:paraId="7F4CFF8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1、投标人的基本资格条件：投标人必须是在中华人民共和国境内注册登记的法人、其他组织或者自然人，且应当符合《政府采购法》第二十二条第一款的规定。</w:t>
      </w:r>
    </w:p>
    <w:p w14:paraId="37C2C727">
      <w:pPr>
        <w:wordWrap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2、采购项目的特定资格条件：供应商须是在全国工程造价咨询管理</w:t>
      </w:r>
      <w:r>
        <w:rPr>
          <w:rFonts w:hint="eastAsia" w:ascii="宋体" w:hAnsi="宋体"/>
          <w:color w:val="auto"/>
          <w:szCs w:val="21"/>
          <w:lang w:val="en-US" w:eastAsia="zh-CN"/>
        </w:rPr>
        <w:t>系统</w:t>
      </w:r>
      <w:r>
        <w:rPr>
          <w:rFonts w:hint="eastAsia" w:ascii="宋体" w:hAnsi="宋体"/>
          <w:color w:val="auto"/>
          <w:szCs w:val="21"/>
        </w:rPr>
        <w:t>（http://zaojiasys.jianshe99.com/）注册登记并备案成功的工程造价咨询企业（提供全国工程造价咨询</w:t>
      </w:r>
      <w:r>
        <w:rPr>
          <w:rFonts w:hint="eastAsia" w:ascii="宋体" w:hAnsi="宋体"/>
          <w:color w:val="auto"/>
          <w:szCs w:val="21"/>
          <w:lang w:val="en-US" w:eastAsia="zh-CN"/>
        </w:rPr>
        <w:t>管理系统</w:t>
      </w:r>
      <w:r>
        <w:rPr>
          <w:rFonts w:hint="eastAsia" w:ascii="宋体" w:hAnsi="宋体"/>
          <w:color w:val="auto"/>
          <w:szCs w:val="21"/>
        </w:rPr>
        <w:t>网站查询的截图并加盖公章）。</w:t>
      </w:r>
    </w:p>
    <w:p w14:paraId="46EE017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3、单位负责人为同一人或者存在直接控股、管理关系的不同投标人，不得参加同一合同项下的询价比选活动。</w:t>
      </w:r>
    </w:p>
    <w:p w14:paraId="4620AE7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4、为本采购项目提供整体设计、规范编制或者项目管理、监理、检测等服务的，不得再参加此项目的其他采购、比选活动。</w:t>
      </w:r>
    </w:p>
    <w:p w14:paraId="5A849B5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5、列入失信被执行人、重大税收违法失信主体名单、政府采购严重违法失信行为记录名单的，拒绝其参与询价比选活动。</w:t>
      </w:r>
    </w:p>
    <w:p w14:paraId="1C3E8D0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6、联合体投标。本次招标</w:t>
      </w:r>
      <w:r>
        <w:rPr>
          <w:rFonts w:hint="eastAsia" w:ascii="宋体" w:hAnsi="宋体"/>
          <w:color w:val="auto"/>
          <w:szCs w:val="21"/>
          <w:u w:val="single"/>
        </w:rPr>
        <w:t xml:space="preserve"> 不接受 </w:t>
      </w:r>
      <w:r>
        <w:rPr>
          <w:rFonts w:hint="eastAsia" w:ascii="宋体" w:hAnsi="宋体"/>
          <w:color w:val="auto"/>
          <w:szCs w:val="21"/>
        </w:rPr>
        <w:t>(接受或不接受)联合体投标。接受联合体投标的，联合体应当具备下列条件：</w:t>
      </w:r>
      <w:r>
        <w:rPr>
          <w:rFonts w:hint="eastAsia" w:ascii="宋体" w:hAnsi="宋体"/>
          <w:color w:val="auto"/>
          <w:szCs w:val="21"/>
          <w:u w:val="single"/>
        </w:rPr>
        <w:t xml:space="preserve">   /  </w:t>
      </w:r>
      <w:r>
        <w:rPr>
          <w:rFonts w:hint="eastAsia" w:ascii="宋体" w:hAnsi="宋体"/>
          <w:color w:val="auto"/>
          <w:szCs w:val="21"/>
        </w:rPr>
        <w:t>。</w:t>
      </w:r>
    </w:p>
    <w:p w14:paraId="3EB349BB">
      <w:pPr>
        <w:adjustRightInd w:val="0"/>
        <w:snapToGrid w:val="0"/>
        <w:spacing w:line="360" w:lineRule="auto"/>
        <w:ind w:firstLine="420" w:firstLineChars="200"/>
        <w:rPr>
          <w:rFonts w:ascii="宋体" w:hAnsi="宋体"/>
          <w:b/>
          <w:color w:val="auto"/>
          <w:szCs w:val="21"/>
        </w:rPr>
      </w:pPr>
      <w:r>
        <w:rPr>
          <w:rFonts w:hint="eastAsia" w:ascii="宋体" w:hAnsi="宋体"/>
          <w:b/>
          <w:color w:val="auto"/>
          <w:szCs w:val="21"/>
        </w:rPr>
        <w:t>三、获取招标文件的时间、期限、地点及方式</w:t>
      </w:r>
    </w:p>
    <w:p w14:paraId="2B93124F">
      <w:pPr>
        <w:tabs>
          <w:tab w:val="left" w:pos="4700"/>
          <w:tab w:val="left" w:pos="6000"/>
          <w:tab w:val="left" w:pos="7160"/>
          <w:tab w:val="left" w:pos="8520"/>
        </w:tabs>
        <w:wordWrap w:val="0"/>
        <w:autoSpaceDE w:val="0"/>
        <w:autoSpaceDN w:val="0"/>
        <w:adjustRightInd w:val="0"/>
        <w:snapToGrid w:val="0"/>
        <w:spacing w:line="360" w:lineRule="auto"/>
        <w:ind w:right="-23" w:firstLine="420" w:firstLineChars="200"/>
        <w:jc w:val="left"/>
        <w:rPr>
          <w:rFonts w:ascii="宋体" w:hAnsi="宋体" w:cs="微软雅黑"/>
          <w:color w:val="auto"/>
          <w:spacing w:val="-14"/>
          <w:kern w:val="0"/>
          <w:szCs w:val="21"/>
        </w:rPr>
      </w:pPr>
      <w:r>
        <w:rPr>
          <w:rFonts w:hint="eastAsia" w:ascii="宋体" w:hAnsi="宋体" w:cs="微软雅黑"/>
          <w:color w:val="auto"/>
          <w:kern w:val="0"/>
          <w:szCs w:val="21"/>
        </w:rPr>
        <w:t>有</w:t>
      </w:r>
      <w:r>
        <w:rPr>
          <w:rFonts w:hint="eastAsia" w:ascii="宋体" w:hAnsi="宋体" w:cs="微软雅黑"/>
          <w:color w:val="auto"/>
          <w:spacing w:val="-2"/>
          <w:kern w:val="0"/>
          <w:szCs w:val="21"/>
        </w:rPr>
        <w:t>意</w:t>
      </w:r>
      <w:r>
        <w:rPr>
          <w:rFonts w:hint="eastAsia" w:ascii="宋体" w:hAnsi="宋体" w:cs="微软雅黑"/>
          <w:color w:val="auto"/>
          <w:kern w:val="0"/>
          <w:szCs w:val="21"/>
        </w:rPr>
        <w:t>参</w:t>
      </w:r>
      <w:r>
        <w:rPr>
          <w:rFonts w:hint="eastAsia" w:ascii="宋体" w:hAnsi="宋体" w:cs="微软雅黑"/>
          <w:color w:val="auto"/>
          <w:spacing w:val="-2"/>
          <w:kern w:val="0"/>
          <w:szCs w:val="21"/>
        </w:rPr>
        <w:t>加</w:t>
      </w:r>
      <w:r>
        <w:rPr>
          <w:rFonts w:hint="eastAsia" w:ascii="宋体" w:hAnsi="宋体" w:cs="微软雅黑"/>
          <w:color w:val="auto"/>
          <w:kern w:val="0"/>
          <w:szCs w:val="21"/>
        </w:rPr>
        <w:t>投</w:t>
      </w:r>
      <w:r>
        <w:rPr>
          <w:rFonts w:hint="eastAsia" w:ascii="宋体" w:hAnsi="宋体" w:cs="微软雅黑"/>
          <w:color w:val="auto"/>
          <w:spacing w:val="-2"/>
          <w:kern w:val="0"/>
          <w:szCs w:val="21"/>
        </w:rPr>
        <w:t>标</w:t>
      </w:r>
      <w:r>
        <w:rPr>
          <w:rFonts w:hint="eastAsia" w:ascii="宋体" w:hAnsi="宋体" w:cs="微软雅黑"/>
          <w:color w:val="auto"/>
          <w:kern w:val="0"/>
          <w:szCs w:val="21"/>
        </w:rPr>
        <w:t>者，在</w:t>
      </w:r>
      <w:r>
        <w:rPr>
          <w:rFonts w:hint="eastAsia" w:ascii="宋体" w:hAnsi="宋体" w:cs="宋体"/>
          <w:color w:val="auto"/>
          <w:szCs w:val="21"/>
        </w:rPr>
        <w:t>娄底市万宝新区开发投资集团有限公司网站（http://www.wbtzjt.com/）上下载询价比选文件，逾期将不能获取文件。与本项目相关的澄清公告、更正或补充公告均为询价比选文件的组成部分，发布渠道为“娄底市万宝新区开发投资集团有限公司网站（http://www.wbtzjt.com/）”及微信公众号。投标人应及时留意最新公告，因投标人浏览不及时，致使造成投标损失或其他后果的，均由投标人自行承担。</w:t>
      </w:r>
    </w:p>
    <w:p w14:paraId="534D46DE">
      <w:pPr>
        <w:numPr>
          <w:ilvl w:val="0"/>
          <w:numId w:val="1"/>
        </w:numPr>
        <w:adjustRightInd w:val="0"/>
        <w:snapToGrid w:val="0"/>
        <w:spacing w:line="360" w:lineRule="auto"/>
        <w:ind w:left="0" w:firstLine="420" w:firstLineChars="200"/>
        <w:rPr>
          <w:rFonts w:ascii="宋体" w:hAnsi="宋体"/>
          <w:b/>
          <w:color w:val="auto"/>
          <w:szCs w:val="21"/>
        </w:rPr>
      </w:pPr>
      <w:r>
        <w:rPr>
          <w:rFonts w:hint="eastAsia" w:ascii="宋体" w:hAnsi="宋体"/>
          <w:b/>
          <w:color w:val="auto"/>
          <w:szCs w:val="21"/>
        </w:rPr>
        <w:t>投标截止时间、开标时间及地点</w:t>
      </w:r>
    </w:p>
    <w:p w14:paraId="291D8B20">
      <w:pPr>
        <w:numPr>
          <w:ilvl w:val="0"/>
          <w:numId w:val="2"/>
        </w:num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投标文件递交的截止时间及开标时间：</w:t>
      </w:r>
      <w:r>
        <w:rPr>
          <w:rFonts w:hint="eastAsia" w:ascii="宋体" w:hAnsi="宋体" w:cs="宋体"/>
          <w:color w:val="auto"/>
          <w:szCs w:val="21"/>
          <w:u w:val="single"/>
        </w:rPr>
        <w:t>2025年</w:t>
      </w:r>
      <w:r>
        <w:rPr>
          <w:rFonts w:hint="eastAsia" w:ascii="宋体" w:hAnsi="宋体" w:cs="宋体"/>
          <w:color w:val="auto"/>
          <w:szCs w:val="21"/>
          <w:u w:val="single"/>
          <w:lang w:val="en-US" w:eastAsia="zh-CN"/>
        </w:rPr>
        <w:t>09</w:t>
      </w:r>
      <w:r>
        <w:rPr>
          <w:rFonts w:hint="eastAsia" w:ascii="宋体" w:hAnsi="宋体" w:cs="宋体"/>
          <w:color w:val="auto"/>
          <w:szCs w:val="21"/>
          <w:u w:val="single"/>
        </w:rPr>
        <w:t>月</w:t>
      </w:r>
      <w:r>
        <w:rPr>
          <w:rFonts w:hint="eastAsia" w:ascii="宋体" w:hAnsi="宋体" w:cs="宋体"/>
          <w:color w:val="auto"/>
          <w:szCs w:val="21"/>
          <w:u w:val="single"/>
          <w:lang w:val="en-US" w:eastAsia="zh-CN"/>
        </w:rPr>
        <w:t>23</w:t>
      </w:r>
      <w:r>
        <w:rPr>
          <w:rFonts w:hint="eastAsia" w:ascii="宋体" w:hAnsi="宋体" w:cs="宋体"/>
          <w:color w:val="auto"/>
          <w:szCs w:val="21"/>
          <w:u w:val="single"/>
        </w:rPr>
        <w:t>日09 时00 分</w:t>
      </w:r>
      <w:r>
        <w:rPr>
          <w:rFonts w:hint="eastAsia" w:ascii="宋体" w:hAnsi="宋体" w:cs="宋体"/>
          <w:color w:val="auto"/>
          <w:szCs w:val="21"/>
        </w:rPr>
        <w:t>（北京时间）；</w:t>
      </w:r>
    </w:p>
    <w:p w14:paraId="1F09B9C5">
      <w:pPr>
        <w:numPr>
          <w:ilvl w:val="0"/>
          <w:numId w:val="2"/>
        </w:num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投标地点/开标地点：娄底市万宝新区开发投资集团有限公司</w:t>
      </w:r>
      <w:r>
        <w:rPr>
          <w:rFonts w:hint="eastAsia" w:ascii="宋体" w:hAnsi="宋体" w:cs="宋体"/>
          <w:color w:val="auto"/>
          <w:szCs w:val="21"/>
          <w:u w:val="single"/>
        </w:rPr>
        <w:t>519会议室</w:t>
      </w:r>
      <w:r>
        <w:rPr>
          <w:rFonts w:hint="eastAsia" w:ascii="宋体" w:hAnsi="宋体" w:cs="宋体"/>
          <w:color w:val="auto"/>
          <w:szCs w:val="21"/>
        </w:rPr>
        <w:t>（娄底市静安街百弘学府城B6栋5楼）。</w:t>
      </w:r>
    </w:p>
    <w:p w14:paraId="1E67CC4D">
      <w:pPr>
        <w:numPr>
          <w:ilvl w:val="0"/>
          <w:numId w:val="1"/>
        </w:numPr>
        <w:adjustRightInd w:val="0"/>
        <w:snapToGrid w:val="0"/>
        <w:spacing w:line="360" w:lineRule="auto"/>
        <w:ind w:left="0" w:firstLine="420" w:firstLineChars="200"/>
        <w:rPr>
          <w:rFonts w:ascii="宋体" w:hAnsi="宋体"/>
          <w:b/>
          <w:color w:val="auto"/>
          <w:szCs w:val="21"/>
        </w:rPr>
      </w:pPr>
      <w:r>
        <w:rPr>
          <w:rFonts w:hint="eastAsia" w:ascii="宋体" w:hAnsi="宋体"/>
          <w:b/>
          <w:color w:val="auto"/>
          <w:szCs w:val="21"/>
        </w:rPr>
        <w:t>投标文件编制说明与递交</w:t>
      </w:r>
    </w:p>
    <w:p w14:paraId="4F0B52B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本招标项目采用投标人携带身份证明资料现场参与询价比选会的形式，授权委托人需携带近3个月的社保缴纳证明，投标人现场向采购人递交投标文件。</w:t>
      </w:r>
    </w:p>
    <w:p w14:paraId="477BE678">
      <w:pPr>
        <w:adjustRightInd w:val="0"/>
        <w:snapToGrid w:val="0"/>
        <w:spacing w:line="360" w:lineRule="auto"/>
        <w:ind w:firstLine="420" w:firstLineChars="200"/>
        <w:rPr>
          <w:rFonts w:ascii="宋体" w:hAnsi="宋体"/>
          <w:color w:val="auto"/>
          <w:szCs w:val="21"/>
        </w:rPr>
      </w:pPr>
      <w:r>
        <w:rPr>
          <w:rFonts w:hint="eastAsia" w:ascii="宋体" w:hAnsi="宋体"/>
          <w:b/>
          <w:color w:val="auto"/>
          <w:szCs w:val="21"/>
        </w:rPr>
        <w:t>六、公告期限</w:t>
      </w:r>
      <w:r>
        <w:rPr>
          <w:rFonts w:hint="eastAsia" w:ascii="宋体" w:hAnsi="宋体"/>
          <w:color w:val="auto"/>
          <w:szCs w:val="21"/>
        </w:rPr>
        <w:t>：</w:t>
      </w:r>
    </w:p>
    <w:p w14:paraId="431CA680">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1、本招标公告在</w:t>
      </w:r>
      <w:r>
        <w:rPr>
          <w:rFonts w:hint="eastAsia" w:ascii="宋体" w:hAnsi="宋体" w:cs="宋体"/>
          <w:color w:val="auto"/>
          <w:szCs w:val="21"/>
        </w:rPr>
        <w:t>娄底市万宝新区开发投资集团有限公司网站（http://www.wbtzjt.com/）及微信公众号</w:t>
      </w:r>
      <w:r>
        <w:rPr>
          <w:rFonts w:hint="eastAsia" w:ascii="宋体" w:hAnsi="宋体" w:cs="微软雅黑"/>
          <w:color w:val="auto"/>
          <w:kern w:val="0"/>
          <w:szCs w:val="21"/>
        </w:rPr>
        <w:t>上</w:t>
      </w:r>
      <w:r>
        <w:rPr>
          <w:rFonts w:hint="eastAsia" w:ascii="宋体" w:hAnsi="宋体"/>
          <w:color w:val="auto"/>
          <w:szCs w:val="21"/>
        </w:rPr>
        <w:t>发布。公告期限从本招标公告发布之日起3个日历日。</w:t>
      </w:r>
    </w:p>
    <w:p w14:paraId="10330CE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2、在其他媒体发布的招标公告，公告内容以本招标公告指定媒体发布的公告为准；公告期限自本招标公告指定媒体最先发布公告之日起算。</w:t>
      </w:r>
    </w:p>
    <w:p w14:paraId="6E03CBB1">
      <w:pPr>
        <w:adjustRightInd w:val="0"/>
        <w:snapToGrid w:val="0"/>
        <w:spacing w:line="360" w:lineRule="auto"/>
        <w:ind w:firstLine="420" w:firstLineChars="200"/>
        <w:rPr>
          <w:rFonts w:ascii="宋体" w:hAnsi="宋体"/>
          <w:color w:val="auto"/>
          <w:szCs w:val="21"/>
        </w:rPr>
      </w:pPr>
      <w:r>
        <w:rPr>
          <w:rFonts w:hint="eastAsia" w:ascii="宋体" w:hAnsi="宋体"/>
          <w:b/>
          <w:color w:val="auto"/>
          <w:szCs w:val="21"/>
        </w:rPr>
        <w:t>七、询问及质疑</w:t>
      </w:r>
      <w:r>
        <w:rPr>
          <w:rFonts w:hint="eastAsia" w:ascii="宋体" w:hAnsi="宋体"/>
          <w:color w:val="auto"/>
          <w:szCs w:val="21"/>
        </w:rPr>
        <w:t>：</w:t>
      </w:r>
    </w:p>
    <w:p w14:paraId="45D21B39">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1、投标人对询价比选活动事项如有疑问的，可以电话向采购人提出询问。采购人将在1个工作日内作出答复。</w:t>
      </w:r>
    </w:p>
    <w:p w14:paraId="1B70AB1D">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潜在投标人认为招标文件或招标公告使自己的合法权益受到损害的，可以在收到招标文件之日或招标公告期限届满之日起3个工作日内，按《湖南省财政厅关于印发＜政府采购质疑答复和投诉处理操作规程＞的通知》(湘财购〔2019〕20号)规定，以纸质书面形式向采购人提出质疑。</w:t>
      </w:r>
    </w:p>
    <w:p w14:paraId="3AE97339">
      <w:pPr>
        <w:adjustRightInd w:val="0"/>
        <w:snapToGrid w:val="0"/>
        <w:spacing w:line="360" w:lineRule="auto"/>
        <w:ind w:firstLine="420" w:firstLineChars="200"/>
        <w:rPr>
          <w:rFonts w:ascii="宋体" w:hAnsi="宋体"/>
          <w:b/>
          <w:color w:val="auto"/>
          <w:szCs w:val="21"/>
        </w:rPr>
      </w:pPr>
      <w:r>
        <w:rPr>
          <w:rFonts w:hint="eastAsia" w:ascii="宋体" w:hAnsi="宋体"/>
          <w:b/>
          <w:color w:val="auto"/>
          <w:szCs w:val="21"/>
        </w:rPr>
        <w:t>八、投标说明</w:t>
      </w:r>
    </w:p>
    <w:p w14:paraId="607D5B6C">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olor w:val="auto"/>
          <w:szCs w:val="21"/>
        </w:rPr>
      </w:pPr>
      <w:r>
        <w:rPr>
          <w:rFonts w:hint="eastAsia" w:ascii="宋体" w:hAnsi="宋体"/>
          <w:color w:val="auto"/>
          <w:szCs w:val="21"/>
        </w:rPr>
        <w:t>1、本公告选项：</w:t>
      </w:r>
      <w:r>
        <w:rPr>
          <w:rFonts w:hint="eastAsia" w:ascii="宋体" w:hAnsi="宋体"/>
          <w:color w:val="auto"/>
          <w:szCs w:val="21"/>
        </w:rPr>
        <w:sym w:font="Wingdings" w:char="00FE"/>
      </w:r>
      <w:r>
        <w:rPr>
          <w:rFonts w:hint="eastAsia" w:ascii="宋体" w:hAnsi="宋体"/>
          <w:color w:val="auto"/>
          <w:szCs w:val="21"/>
        </w:rPr>
        <w:t>表示选择，</w:t>
      </w:r>
      <w:r>
        <w:rPr>
          <w:rFonts w:hint="eastAsia" w:ascii="宋体" w:hAnsi="宋体"/>
          <w:color w:val="auto"/>
          <w:szCs w:val="21"/>
        </w:rPr>
        <w:sym w:font="Wingdings" w:char="00A8"/>
      </w:r>
      <w:r>
        <w:rPr>
          <w:rFonts w:hint="eastAsia" w:ascii="宋体" w:hAnsi="宋体"/>
          <w:color w:val="auto"/>
          <w:szCs w:val="21"/>
        </w:rPr>
        <w:t>表示未选择。</w:t>
      </w:r>
    </w:p>
    <w:p w14:paraId="679EE7BE">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olor w:val="auto"/>
          <w:szCs w:val="21"/>
        </w:rPr>
      </w:pPr>
      <w:r>
        <w:rPr>
          <w:rFonts w:hint="eastAsia" w:ascii="宋体" w:hAnsi="宋体"/>
          <w:color w:val="auto"/>
          <w:szCs w:val="21"/>
        </w:rPr>
        <w:t>2、投标人参与询价比选活动，无需向采购人缴纳任何费用。</w:t>
      </w:r>
    </w:p>
    <w:p w14:paraId="6A17CE1F">
      <w:pPr>
        <w:pStyle w:val="29"/>
        <w:widowControl/>
        <w:spacing w:before="0" w:beforeAutospacing="0" w:after="0" w:afterAutospacing="0" w:line="360" w:lineRule="auto"/>
        <w:ind w:firstLine="421"/>
        <w:rPr>
          <w:rFonts w:ascii="宋体" w:hAnsi="宋体"/>
          <w:b/>
          <w:color w:val="auto"/>
          <w:kern w:val="2"/>
          <w:sz w:val="21"/>
          <w:szCs w:val="21"/>
        </w:rPr>
      </w:pPr>
      <w:r>
        <w:rPr>
          <w:rFonts w:hint="eastAsia" w:ascii="宋体" w:hAnsi="宋体"/>
          <w:b/>
          <w:color w:val="auto"/>
          <w:kern w:val="2"/>
          <w:sz w:val="21"/>
          <w:szCs w:val="21"/>
        </w:rPr>
        <w:t>九、其他</w:t>
      </w:r>
    </w:p>
    <w:p w14:paraId="10C38B88">
      <w:pPr>
        <w:pStyle w:val="29"/>
        <w:widowControl/>
        <w:spacing w:before="0" w:beforeAutospacing="0" w:after="0" w:afterAutospacing="0" w:line="360" w:lineRule="auto"/>
        <w:ind w:firstLine="420" w:firstLineChars="200"/>
        <w:rPr>
          <w:rFonts w:ascii="Calibri" w:hAnsi="Calibri" w:cs="Calibri"/>
          <w:color w:val="auto"/>
          <w:sz w:val="21"/>
          <w:szCs w:val="21"/>
        </w:rPr>
      </w:pPr>
      <w:r>
        <w:rPr>
          <w:rFonts w:hint="eastAsia" w:ascii="宋体" w:hAnsi="宋体" w:cs="宋体"/>
          <w:color w:val="auto"/>
          <w:sz w:val="21"/>
          <w:szCs w:val="21"/>
        </w:rPr>
        <w:t>1、澄清注意事项：评标委员会专家在评标室，对需要进行答疑的单位进行提问，投标单位在询价比选会现场规定时间内进行澄清。</w:t>
      </w:r>
    </w:p>
    <w:p w14:paraId="548BEA6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2、如遇特殊情况、不可抗力的因素需要延期开标的招标人将在投标截止时间前另行通知。</w:t>
      </w:r>
    </w:p>
    <w:p w14:paraId="0D07402D">
      <w:pPr>
        <w:adjustRightInd w:val="0"/>
        <w:snapToGrid w:val="0"/>
        <w:spacing w:line="360" w:lineRule="auto"/>
        <w:ind w:firstLine="411" w:firstLineChars="196"/>
        <w:rPr>
          <w:rFonts w:ascii="宋体" w:hAnsi="宋体"/>
          <w:b/>
          <w:bCs/>
          <w:color w:val="auto"/>
          <w:szCs w:val="21"/>
        </w:rPr>
      </w:pPr>
      <w:r>
        <w:rPr>
          <w:rFonts w:hint="eastAsia" w:ascii="宋体" w:hAnsi="宋体"/>
          <w:b/>
          <w:color w:val="auto"/>
          <w:szCs w:val="21"/>
        </w:rPr>
        <w:t>十</w:t>
      </w:r>
      <w:r>
        <w:rPr>
          <w:rFonts w:hint="eastAsia" w:ascii="宋体" w:hAnsi="宋体"/>
          <w:b/>
          <w:bCs/>
          <w:color w:val="auto"/>
          <w:szCs w:val="21"/>
        </w:rPr>
        <w:t>、采购人、监督部门的名称、地址和联系方法</w:t>
      </w:r>
    </w:p>
    <w:p w14:paraId="5C3EDABB">
      <w:pPr>
        <w:adjustRightInd w:val="0"/>
        <w:snapToGrid w:val="0"/>
        <w:spacing w:line="360" w:lineRule="auto"/>
        <w:ind w:firstLine="411" w:firstLineChars="196"/>
        <w:rPr>
          <w:rFonts w:ascii="宋体" w:hAnsi="宋体"/>
          <w:b/>
          <w:bCs/>
          <w:color w:val="auto"/>
          <w:szCs w:val="21"/>
        </w:rPr>
      </w:pPr>
      <w:r>
        <w:rPr>
          <w:rFonts w:hint="eastAsia" w:ascii="宋体" w:hAnsi="宋体"/>
          <w:b/>
          <w:bCs/>
          <w:color w:val="auto"/>
          <w:szCs w:val="21"/>
        </w:rPr>
        <w:t>1</w:t>
      </w:r>
      <w:r>
        <w:rPr>
          <w:rFonts w:hint="eastAsia" w:ascii="宋体" w:hAnsi="宋体"/>
          <w:color w:val="auto"/>
          <w:szCs w:val="21"/>
        </w:rPr>
        <w:t>、</w:t>
      </w:r>
      <w:r>
        <w:rPr>
          <w:rFonts w:hint="eastAsia" w:ascii="宋体" w:hAnsi="宋体"/>
          <w:b/>
          <w:bCs/>
          <w:color w:val="auto"/>
          <w:szCs w:val="21"/>
        </w:rPr>
        <w:t>采购人信息</w:t>
      </w:r>
    </w:p>
    <w:p w14:paraId="1348CA43">
      <w:pPr>
        <w:adjustRightInd w:val="0"/>
        <w:snapToGrid w:val="0"/>
        <w:spacing w:line="360" w:lineRule="auto"/>
        <w:ind w:firstLine="411" w:firstLineChars="196"/>
        <w:rPr>
          <w:rFonts w:ascii="宋体" w:hAnsi="宋体"/>
          <w:color w:val="auto"/>
          <w:szCs w:val="21"/>
        </w:rPr>
      </w:pPr>
      <w:r>
        <w:rPr>
          <w:rFonts w:hint="eastAsia" w:ascii="宋体" w:hAnsi="宋体"/>
          <w:color w:val="auto"/>
          <w:szCs w:val="21"/>
        </w:rPr>
        <w:t>（1）</w:t>
      </w:r>
      <w:r>
        <w:rPr>
          <w:rFonts w:hint="eastAsia" w:ascii="宋体" w:hAnsi="宋体"/>
          <w:bCs/>
          <w:color w:val="auto"/>
          <w:szCs w:val="21"/>
        </w:rPr>
        <w:t>名  称：</w:t>
      </w:r>
      <w:r>
        <w:rPr>
          <w:rFonts w:hint="eastAsia" w:ascii="宋体" w:hAnsi="宋体"/>
          <w:color w:val="auto"/>
          <w:szCs w:val="21"/>
          <w:u w:val="single"/>
        </w:rPr>
        <w:t>娄底市万宝新区开发投资集团有限公司</w:t>
      </w:r>
    </w:p>
    <w:p w14:paraId="6565E24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（2）地  址：</w:t>
      </w:r>
      <w:r>
        <w:rPr>
          <w:rFonts w:hint="eastAsia" w:ascii="宋体" w:hAnsi="宋体"/>
          <w:color w:val="auto"/>
          <w:szCs w:val="21"/>
          <w:u w:val="single"/>
        </w:rPr>
        <w:t>娄底市静安街百弘学府城B6栋</w:t>
      </w:r>
    </w:p>
    <w:p w14:paraId="5F22FA7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（3）联系人：</w:t>
      </w:r>
      <w:r>
        <w:rPr>
          <w:rFonts w:hint="eastAsia" w:ascii="宋体" w:hAnsi="宋体"/>
          <w:color w:val="auto"/>
          <w:szCs w:val="21"/>
          <w:u w:val="single"/>
        </w:rPr>
        <w:t xml:space="preserve">曾先生   </w:t>
      </w:r>
    </w:p>
    <w:p w14:paraId="761A632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（4）邮  编：</w:t>
      </w:r>
      <w:r>
        <w:rPr>
          <w:rFonts w:hint="eastAsia" w:ascii="宋体" w:hAnsi="宋体"/>
          <w:color w:val="auto"/>
          <w:szCs w:val="21"/>
          <w:u w:val="single"/>
        </w:rPr>
        <w:t xml:space="preserve">417000     </w:t>
      </w:r>
    </w:p>
    <w:p w14:paraId="6226AF6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（5）电  话：</w:t>
      </w:r>
      <w:r>
        <w:rPr>
          <w:rFonts w:hint="eastAsia" w:ascii="宋体" w:hAnsi="宋体"/>
          <w:color w:val="auto"/>
          <w:szCs w:val="21"/>
          <w:u w:val="single"/>
        </w:rPr>
        <w:t>15107380338</w:t>
      </w:r>
    </w:p>
    <w:p w14:paraId="3B408EC8">
      <w:pPr>
        <w:pStyle w:val="29"/>
        <w:widowControl/>
        <w:shd w:val="clear" w:color="auto" w:fill="FFFFFF"/>
        <w:spacing w:before="0" w:beforeAutospacing="0" w:after="0" w:afterAutospacing="0" w:line="315" w:lineRule="atLeast"/>
        <w:ind w:firstLine="420" w:firstLineChars="200"/>
        <w:rPr>
          <w:rFonts w:ascii="宋体" w:hAnsi="宋体"/>
          <w:b/>
          <w:bCs/>
          <w:color w:val="auto"/>
          <w:kern w:val="2"/>
          <w:sz w:val="21"/>
          <w:szCs w:val="21"/>
        </w:rPr>
      </w:pPr>
      <w:bookmarkStart w:id="11" w:name="_Toc17688"/>
      <w:r>
        <w:rPr>
          <w:rFonts w:hint="eastAsia" w:ascii="宋体" w:hAnsi="宋体"/>
          <w:b/>
          <w:bCs/>
          <w:color w:val="auto"/>
          <w:kern w:val="2"/>
          <w:sz w:val="21"/>
          <w:szCs w:val="21"/>
        </w:rPr>
        <w:t>2、监管部门名称和电话</w:t>
      </w:r>
    </w:p>
    <w:p w14:paraId="507DEE0F">
      <w:pPr>
        <w:pStyle w:val="29"/>
        <w:widowControl/>
        <w:shd w:val="clear" w:color="auto" w:fill="FFFFFF"/>
        <w:spacing w:before="0" w:beforeAutospacing="0" w:after="0" w:afterAutospacing="0" w:line="315" w:lineRule="atLeast"/>
        <w:ind w:firstLine="420" w:firstLineChars="200"/>
        <w:rPr>
          <w:rFonts w:ascii="宋体" w:hAnsi="宋体"/>
          <w:b/>
          <w:bCs/>
          <w:color w:val="auto"/>
          <w:kern w:val="2"/>
          <w:sz w:val="21"/>
          <w:szCs w:val="21"/>
        </w:rPr>
      </w:pPr>
    </w:p>
    <w:p w14:paraId="28B33FED">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（1）监督机构：</w:t>
      </w:r>
      <w:r>
        <w:rPr>
          <w:rFonts w:hint="eastAsia" w:ascii="宋体" w:hAnsi="宋体"/>
          <w:color w:val="auto"/>
          <w:szCs w:val="21"/>
          <w:u w:val="single"/>
        </w:rPr>
        <w:t>娄底市万宝新区开发投资集团有限公司纪检监察室</w:t>
      </w:r>
    </w:p>
    <w:p w14:paraId="7A8F5C4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（2）联系人：</w:t>
      </w:r>
      <w:r>
        <w:rPr>
          <w:rFonts w:hint="eastAsia" w:ascii="宋体" w:hAnsi="宋体"/>
          <w:color w:val="auto"/>
          <w:szCs w:val="21"/>
          <w:u w:val="single"/>
        </w:rPr>
        <w:t>杨先生</w:t>
      </w:r>
    </w:p>
    <w:p w14:paraId="2D3B9D1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（3）电 话：</w:t>
      </w:r>
      <w:r>
        <w:rPr>
          <w:rFonts w:hint="eastAsia" w:ascii="宋体" w:hAnsi="宋体"/>
          <w:color w:val="auto"/>
          <w:szCs w:val="21"/>
          <w:u w:val="single"/>
        </w:rPr>
        <w:t xml:space="preserve">13762847088 </w:t>
      </w:r>
    </w:p>
    <w:p w14:paraId="4C80A1E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br w:type="page"/>
      </w:r>
    </w:p>
    <w:p w14:paraId="2FEE2E61">
      <w:pPr>
        <w:pStyle w:val="12"/>
        <w:spacing w:before="312" w:after="156"/>
        <w:rPr>
          <w:color w:val="auto"/>
        </w:rPr>
      </w:pPr>
      <w:bookmarkStart w:id="12" w:name="_Toc3123"/>
      <w:bookmarkStart w:id="13" w:name="_Toc929"/>
      <w:r>
        <w:rPr>
          <w:rFonts w:hint="eastAsia"/>
          <w:color w:val="auto"/>
        </w:rPr>
        <w:t>第二章 投标须知</w:t>
      </w:r>
      <w:bookmarkEnd w:id="0"/>
      <w:bookmarkEnd w:id="1"/>
      <w:bookmarkEnd w:id="2"/>
      <w:bookmarkEnd w:id="3"/>
      <w:bookmarkEnd w:id="4"/>
      <w:bookmarkEnd w:id="5"/>
      <w:bookmarkEnd w:id="6"/>
      <w:bookmarkEnd w:id="7"/>
      <w:bookmarkEnd w:id="11"/>
      <w:bookmarkEnd w:id="12"/>
      <w:bookmarkEnd w:id="13"/>
    </w:p>
    <w:p w14:paraId="1C85FF65">
      <w:pPr>
        <w:pStyle w:val="13"/>
        <w:adjustRightInd w:val="0"/>
        <w:snapToGrid w:val="0"/>
        <w:jc w:val="center"/>
        <w:rPr>
          <w:rFonts w:ascii="黑体" w:hAnsi="华文中宋" w:eastAsia="黑体"/>
          <w:color w:val="auto"/>
          <w:spacing w:val="100"/>
          <w:sz w:val="28"/>
          <w:szCs w:val="28"/>
        </w:rPr>
      </w:pPr>
      <w:bookmarkStart w:id="14" w:name="_Toc21262"/>
      <w:bookmarkStart w:id="15" w:name="_Toc4898"/>
      <w:r>
        <w:rPr>
          <w:rFonts w:hint="eastAsia" w:ascii="黑体" w:hAnsi="华文中宋" w:eastAsia="黑体"/>
          <w:color w:val="auto"/>
          <w:sz w:val="28"/>
          <w:szCs w:val="28"/>
        </w:rPr>
        <w:t>第一节 投标须知前附表</w:t>
      </w:r>
      <w:bookmarkEnd w:id="14"/>
      <w:bookmarkEnd w:id="15"/>
    </w:p>
    <w:p w14:paraId="7D73BBBA">
      <w:pPr>
        <w:adjustRightInd w:val="0"/>
        <w:snapToGrid w:val="0"/>
        <w:spacing w:line="360" w:lineRule="auto"/>
        <w:ind w:right="31" w:rightChars="15"/>
        <w:jc w:val="right"/>
        <w:rPr>
          <w:rFonts w:ascii="宋体" w:hAnsi="宋体"/>
          <w:i/>
          <w:color w:val="auto"/>
          <w:szCs w:val="21"/>
        </w:rPr>
      </w:pPr>
      <w:r>
        <w:rPr>
          <w:rFonts w:hint="eastAsia" w:ascii="宋体" w:hAnsi="宋体"/>
          <w:i/>
          <w:color w:val="auto"/>
          <w:szCs w:val="21"/>
        </w:rPr>
        <w:t>注：本项目启用的条款在“编列内容规定”栏内以“</w:t>
      </w:r>
      <w:r>
        <w:rPr>
          <w:rFonts w:hint="eastAsia" w:asciiTheme="minorEastAsia" w:hAnsiTheme="minorEastAsia" w:eastAsiaTheme="minorEastAsia"/>
          <w:i/>
          <w:color w:val="auto"/>
          <w:szCs w:val="21"/>
        </w:rPr>
        <w:t>■</w:t>
      </w:r>
      <w:r>
        <w:rPr>
          <w:rFonts w:hint="eastAsia" w:ascii="宋体" w:hAnsi="宋体"/>
          <w:i/>
          <w:color w:val="auto"/>
          <w:szCs w:val="21"/>
        </w:rPr>
        <w:t>”标注。</w:t>
      </w:r>
    </w:p>
    <w:tbl>
      <w:tblPr>
        <w:tblStyle w:val="30"/>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2863"/>
        <w:gridCol w:w="4508"/>
      </w:tblGrid>
      <w:tr w14:paraId="148CF6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560" w:type="dxa"/>
            <w:noWrap/>
            <w:vAlign w:val="center"/>
          </w:tcPr>
          <w:p w14:paraId="43CA004B">
            <w:pPr>
              <w:adjustRightInd w:val="0"/>
              <w:snapToGrid w:val="0"/>
              <w:spacing w:line="360" w:lineRule="auto"/>
              <w:jc w:val="center"/>
              <w:rPr>
                <w:rFonts w:ascii="宋体" w:hAnsi="宋体"/>
                <w:b/>
                <w:color w:val="auto"/>
                <w:szCs w:val="21"/>
              </w:rPr>
            </w:pPr>
            <w:r>
              <w:rPr>
                <w:rFonts w:hint="eastAsia" w:ascii="宋体" w:hAnsi="宋体"/>
                <w:b/>
                <w:color w:val="auto"/>
                <w:szCs w:val="21"/>
              </w:rPr>
              <w:t>条款号</w:t>
            </w:r>
          </w:p>
        </w:tc>
        <w:tc>
          <w:tcPr>
            <w:tcW w:w="2863" w:type="dxa"/>
            <w:noWrap/>
            <w:vAlign w:val="center"/>
          </w:tcPr>
          <w:p w14:paraId="6E1C4D4E">
            <w:pPr>
              <w:adjustRightInd w:val="0"/>
              <w:snapToGrid w:val="0"/>
              <w:spacing w:line="360" w:lineRule="auto"/>
              <w:jc w:val="center"/>
              <w:rPr>
                <w:rFonts w:ascii="宋体" w:hAnsi="宋体"/>
                <w:b/>
                <w:color w:val="auto"/>
                <w:szCs w:val="21"/>
              </w:rPr>
            </w:pPr>
            <w:r>
              <w:rPr>
                <w:rFonts w:hint="eastAsia" w:ascii="宋体" w:hAnsi="宋体"/>
                <w:b/>
                <w:color w:val="auto"/>
                <w:szCs w:val="21"/>
              </w:rPr>
              <w:t>条款名称</w:t>
            </w:r>
          </w:p>
        </w:tc>
        <w:tc>
          <w:tcPr>
            <w:tcW w:w="4508" w:type="dxa"/>
            <w:noWrap/>
            <w:vAlign w:val="center"/>
          </w:tcPr>
          <w:p w14:paraId="5503F4E0">
            <w:pPr>
              <w:adjustRightInd w:val="0"/>
              <w:snapToGrid w:val="0"/>
              <w:spacing w:line="360" w:lineRule="auto"/>
              <w:jc w:val="center"/>
              <w:rPr>
                <w:rFonts w:ascii="宋体" w:hAnsi="宋体"/>
                <w:b/>
                <w:color w:val="auto"/>
                <w:szCs w:val="21"/>
              </w:rPr>
            </w:pPr>
            <w:r>
              <w:rPr>
                <w:rFonts w:hint="eastAsia" w:ascii="宋体" w:hAnsi="宋体"/>
                <w:b/>
                <w:color w:val="auto"/>
                <w:szCs w:val="21"/>
              </w:rPr>
              <w:t>编列内容规定</w:t>
            </w:r>
          </w:p>
        </w:tc>
      </w:tr>
      <w:tr w14:paraId="2FBEA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31" w:type="dxa"/>
            <w:gridSpan w:val="3"/>
            <w:noWrap/>
            <w:vAlign w:val="center"/>
          </w:tcPr>
          <w:p w14:paraId="779C056B">
            <w:pPr>
              <w:adjustRightInd w:val="0"/>
              <w:snapToGrid w:val="0"/>
              <w:spacing w:line="360" w:lineRule="auto"/>
              <w:rPr>
                <w:rFonts w:ascii="宋体" w:hAnsi="宋体"/>
                <w:color w:val="auto"/>
                <w:szCs w:val="21"/>
              </w:rPr>
            </w:pPr>
            <w:r>
              <w:rPr>
                <w:rFonts w:hint="eastAsia" w:ascii="宋体" w:hAnsi="宋体"/>
                <w:b/>
                <w:color w:val="auto"/>
                <w:szCs w:val="21"/>
              </w:rPr>
              <w:t>一、说明</w:t>
            </w:r>
          </w:p>
        </w:tc>
      </w:tr>
      <w:tr w14:paraId="2CFF03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4C4FC0D8">
            <w:pPr>
              <w:adjustRightInd w:val="0"/>
              <w:snapToGrid w:val="0"/>
              <w:spacing w:line="360" w:lineRule="auto"/>
              <w:jc w:val="center"/>
              <w:rPr>
                <w:rFonts w:ascii="宋体" w:hAnsi="宋体"/>
                <w:color w:val="auto"/>
                <w:szCs w:val="21"/>
              </w:rPr>
            </w:pPr>
            <w:r>
              <w:rPr>
                <w:rFonts w:hint="eastAsia" w:ascii="宋体" w:hAnsi="宋体"/>
                <w:color w:val="auto"/>
                <w:szCs w:val="21"/>
              </w:rPr>
              <w:t>第3.1</w:t>
            </w:r>
            <w:r>
              <w:rPr>
                <w:rFonts w:hint="eastAsia" w:ascii="宋体" w:hAnsi="宋体" w:cs="宋体"/>
                <w:color w:val="auto"/>
                <w:kern w:val="0"/>
                <w:szCs w:val="21"/>
                <w:lang w:val="zh-CN"/>
              </w:rPr>
              <w:t>款</w:t>
            </w:r>
          </w:p>
        </w:tc>
        <w:tc>
          <w:tcPr>
            <w:tcW w:w="2863" w:type="dxa"/>
            <w:noWrap/>
            <w:vAlign w:val="center"/>
          </w:tcPr>
          <w:p w14:paraId="79354DAC">
            <w:pPr>
              <w:adjustRightInd w:val="0"/>
              <w:snapToGrid w:val="0"/>
              <w:spacing w:line="360" w:lineRule="auto"/>
              <w:jc w:val="left"/>
              <w:rPr>
                <w:rFonts w:hAnsi="宋体"/>
                <w:color w:val="auto"/>
                <w:szCs w:val="21"/>
              </w:rPr>
            </w:pPr>
            <w:r>
              <w:rPr>
                <w:rFonts w:hint="eastAsia" w:ascii="宋体" w:hAnsi="宋体"/>
                <w:color w:val="auto"/>
                <w:szCs w:val="21"/>
              </w:rPr>
              <w:t>投标人资格条件</w:t>
            </w:r>
          </w:p>
        </w:tc>
        <w:tc>
          <w:tcPr>
            <w:tcW w:w="4508" w:type="dxa"/>
            <w:noWrap/>
            <w:vAlign w:val="center"/>
          </w:tcPr>
          <w:p w14:paraId="2A0A34EB">
            <w:pPr>
              <w:adjustRightInd w:val="0"/>
              <w:snapToGrid w:val="0"/>
              <w:spacing w:line="420" w:lineRule="exact"/>
              <w:rPr>
                <w:rFonts w:hAnsi="宋体"/>
                <w:color w:val="auto"/>
                <w:szCs w:val="21"/>
              </w:rPr>
            </w:pPr>
            <w:r>
              <w:rPr>
                <w:rFonts w:hint="eastAsia" w:hAnsi="宋体"/>
                <w:color w:val="auto"/>
                <w:szCs w:val="21"/>
              </w:rPr>
              <w:t>详见投标邀请</w:t>
            </w:r>
          </w:p>
        </w:tc>
      </w:tr>
      <w:tr w14:paraId="45550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65AAAB8B">
            <w:pPr>
              <w:adjustRightInd w:val="0"/>
              <w:snapToGrid w:val="0"/>
              <w:spacing w:line="360" w:lineRule="auto"/>
              <w:jc w:val="center"/>
              <w:rPr>
                <w:rFonts w:ascii="宋体" w:hAnsi="宋体"/>
                <w:color w:val="auto"/>
                <w:szCs w:val="21"/>
              </w:rPr>
            </w:pPr>
            <w:r>
              <w:rPr>
                <w:rFonts w:hint="eastAsia" w:ascii="宋体" w:hAnsi="宋体"/>
                <w:color w:val="auto"/>
                <w:szCs w:val="21"/>
              </w:rPr>
              <w:t>第5.1</w:t>
            </w:r>
            <w:r>
              <w:rPr>
                <w:rFonts w:hint="eastAsia" w:ascii="宋体" w:hAnsi="宋体" w:cs="宋体"/>
                <w:color w:val="auto"/>
                <w:kern w:val="0"/>
                <w:szCs w:val="21"/>
                <w:lang w:val="zh-CN"/>
              </w:rPr>
              <w:t>款</w:t>
            </w:r>
          </w:p>
        </w:tc>
        <w:tc>
          <w:tcPr>
            <w:tcW w:w="2863" w:type="dxa"/>
            <w:noWrap/>
            <w:vAlign w:val="center"/>
          </w:tcPr>
          <w:p w14:paraId="171702EE">
            <w:pPr>
              <w:adjustRightInd w:val="0"/>
              <w:snapToGrid w:val="0"/>
              <w:spacing w:line="360" w:lineRule="auto"/>
              <w:jc w:val="left"/>
              <w:rPr>
                <w:rFonts w:hAnsi="宋体"/>
                <w:color w:val="auto"/>
                <w:szCs w:val="21"/>
              </w:rPr>
            </w:pPr>
            <w:r>
              <w:rPr>
                <w:rFonts w:hint="eastAsia" w:ascii="宋体" w:hAnsi="宋体"/>
                <w:color w:val="auto"/>
                <w:szCs w:val="21"/>
              </w:rPr>
              <w:t>招标文件提供期限</w:t>
            </w:r>
          </w:p>
        </w:tc>
        <w:tc>
          <w:tcPr>
            <w:tcW w:w="4508" w:type="dxa"/>
            <w:noWrap/>
            <w:vAlign w:val="center"/>
          </w:tcPr>
          <w:p w14:paraId="4D76558F">
            <w:pPr>
              <w:adjustRightInd w:val="0"/>
              <w:snapToGrid w:val="0"/>
              <w:spacing w:line="420" w:lineRule="exact"/>
              <w:rPr>
                <w:rFonts w:hAnsi="宋体"/>
                <w:color w:val="auto"/>
                <w:szCs w:val="21"/>
              </w:rPr>
            </w:pPr>
            <w:r>
              <w:rPr>
                <w:rFonts w:hint="eastAsia" w:ascii="宋体" w:hAnsi="宋体" w:cs="宋体"/>
                <w:color w:val="auto"/>
                <w:szCs w:val="21"/>
              </w:rPr>
              <w:t>即日起至</w:t>
            </w:r>
            <w:r>
              <w:rPr>
                <w:rFonts w:hint="eastAsia" w:ascii="宋体" w:hAnsi="宋体" w:cs="宋体"/>
                <w:color w:val="auto"/>
                <w:szCs w:val="21"/>
                <w:u w:val="single"/>
              </w:rPr>
              <w:t xml:space="preserve"> 2025年</w:t>
            </w:r>
            <w:r>
              <w:rPr>
                <w:rFonts w:hint="eastAsia" w:ascii="宋体" w:hAnsi="宋体" w:cs="宋体"/>
                <w:color w:val="auto"/>
                <w:szCs w:val="21"/>
                <w:u w:val="single"/>
                <w:lang w:val="en-US" w:eastAsia="zh-CN"/>
              </w:rPr>
              <w:t>09</w:t>
            </w:r>
            <w:r>
              <w:rPr>
                <w:rFonts w:hint="eastAsia" w:ascii="宋体" w:hAnsi="宋体" w:cs="宋体"/>
                <w:color w:val="auto"/>
                <w:szCs w:val="21"/>
                <w:u w:val="single"/>
              </w:rPr>
              <w:t>月</w:t>
            </w:r>
            <w:r>
              <w:rPr>
                <w:rFonts w:hint="eastAsia" w:ascii="宋体" w:hAnsi="宋体" w:cs="宋体"/>
                <w:color w:val="auto"/>
                <w:szCs w:val="21"/>
                <w:u w:val="single"/>
                <w:lang w:val="en-US" w:eastAsia="zh-CN"/>
              </w:rPr>
              <w:t>23</w:t>
            </w:r>
            <w:r>
              <w:rPr>
                <w:rFonts w:hint="eastAsia" w:ascii="宋体" w:hAnsi="宋体" w:cs="宋体"/>
                <w:color w:val="auto"/>
                <w:szCs w:val="21"/>
                <w:u w:val="single"/>
              </w:rPr>
              <w:t>日09 时00 分</w:t>
            </w:r>
            <w:r>
              <w:rPr>
                <w:rFonts w:hint="eastAsia" w:ascii="宋体" w:hAnsi="宋体" w:cs="宋体"/>
                <w:color w:val="auto"/>
                <w:szCs w:val="21"/>
              </w:rPr>
              <w:t>。</w:t>
            </w:r>
          </w:p>
        </w:tc>
      </w:tr>
      <w:tr w14:paraId="79CAFB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4E301E93">
            <w:pPr>
              <w:adjustRightInd w:val="0"/>
              <w:snapToGrid w:val="0"/>
              <w:spacing w:line="360" w:lineRule="auto"/>
              <w:jc w:val="center"/>
              <w:rPr>
                <w:rFonts w:ascii="宋体" w:hAnsi="宋体"/>
                <w:color w:val="auto"/>
                <w:szCs w:val="21"/>
              </w:rPr>
            </w:pPr>
            <w:r>
              <w:rPr>
                <w:rFonts w:hint="eastAsia" w:ascii="宋体" w:hAnsi="宋体"/>
                <w:color w:val="auto"/>
                <w:szCs w:val="21"/>
              </w:rPr>
              <w:t>第5.2</w:t>
            </w:r>
            <w:r>
              <w:rPr>
                <w:rFonts w:hint="eastAsia" w:ascii="宋体" w:hAnsi="宋体" w:cs="宋体"/>
                <w:color w:val="auto"/>
                <w:kern w:val="0"/>
                <w:szCs w:val="21"/>
                <w:lang w:val="zh-CN"/>
              </w:rPr>
              <w:t>款</w:t>
            </w:r>
          </w:p>
        </w:tc>
        <w:tc>
          <w:tcPr>
            <w:tcW w:w="2863" w:type="dxa"/>
            <w:noWrap/>
            <w:vAlign w:val="center"/>
          </w:tcPr>
          <w:p w14:paraId="0F6D0E4B">
            <w:pPr>
              <w:adjustRightInd w:val="0"/>
              <w:snapToGrid w:val="0"/>
              <w:spacing w:line="360" w:lineRule="auto"/>
              <w:jc w:val="left"/>
              <w:rPr>
                <w:rFonts w:ascii="宋体" w:hAnsi="宋体"/>
                <w:color w:val="auto"/>
                <w:szCs w:val="21"/>
              </w:rPr>
            </w:pPr>
            <w:r>
              <w:rPr>
                <w:rFonts w:hint="eastAsia" w:ascii="宋体" w:hAnsi="宋体"/>
                <w:color w:val="auto"/>
                <w:szCs w:val="21"/>
              </w:rPr>
              <w:t>组织现场考察或者召开答疑会</w:t>
            </w:r>
          </w:p>
        </w:tc>
        <w:tc>
          <w:tcPr>
            <w:tcW w:w="4508" w:type="dxa"/>
            <w:noWrap/>
            <w:vAlign w:val="center"/>
          </w:tcPr>
          <w:p w14:paraId="3D21D690">
            <w:pPr>
              <w:adjustRightInd w:val="0"/>
              <w:snapToGrid w:val="0"/>
              <w:spacing w:line="360" w:lineRule="auto"/>
              <w:rPr>
                <w:rFonts w:ascii="宋体" w:hAnsi="宋体"/>
                <w:color w:val="auto"/>
                <w:szCs w:val="21"/>
              </w:rPr>
            </w:pPr>
            <w:r>
              <w:rPr>
                <w:rFonts w:hint="eastAsia" w:ascii="MS Gothic" w:hAnsi="MS Gothic" w:eastAsia="MS Gothic" w:cs="MS Gothic"/>
                <w:color w:val="auto"/>
                <w:szCs w:val="21"/>
              </w:rPr>
              <w:t>■</w:t>
            </w:r>
            <w:r>
              <w:rPr>
                <w:rFonts w:ascii="宋体" w:hAnsi="宋体"/>
                <w:color w:val="auto"/>
                <w:szCs w:val="21"/>
              </w:rPr>
              <w:t>不组织</w:t>
            </w:r>
          </w:p>
          <w:p w14:paraId="3CB4CD5D">
            <w:pPr>
              <w:adjustRightInd w:val="0"/>
              <w:snapToGrid w:val="0"/>
              <w:spacing w:line="360" w:lineRule="auto"/>
              <w:rPr>
                <w:rFonts w:ascii="宋体" w:hAnsi="宋体"/>
                <w:color w:val="auto"/>
                <w:szCs w:val="21"/>
              </w:rPr>
            </w:pPr>
            <w:r>
              <w:rPr>
                <w:rFonts w:hint="eastAsia" w:ascii="MS Gothic" w:hAnsi="MS Gothic" w:eastAsia="MS Gothic" w:cs="MS Gothic"/>
                <w:color w:val="auto"/>
                <w:szCs w:val="21"/>
              </w:rPr>
              <w:t>☐</w:t>
            </w:r>
            <w:r>
              <w:rPr>
                <w:rFonts w:hint="eastAsia" w:ascii="宋体" w:hAnsi="宋体"/>
                <w:color w:val="auto"/>
                <w:szCs w:val="21"/>
              </w:rPr>
              <w:t>组织，集合时间：</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日</w:t>
            </w:r>
            <w:r>
              <w:rPr>
                <w:rFonts w:hint="eastAsia" w:ascii="宋体" w:hAnsi="宋体"/>
                <w:color w:val="auto"/>
                <w:szCs w:val="21"/>
                <w:u w:val="single"/>
              </w:rPr>
              <w:t xml:space="preserve">    </w:t>
            </w:r>
            <w:r>
              <w:rPr>
                <w:rFonts w:hint="eastAsia" w:ascii="宋体" w:hAnsi="宋体"/>
                <w:color w:val="auto"/>
                <w:szCs w:val="21"/>
              </w:rPr>
              <w:t xml:space="preserve">时                   </w:t>
            </w:r>
          </w:p>
          <w:p w14:paraId="3218F3F6">
            <w:pPr>
              <w:adjustRightInd w:val="0"/>
              <w:snapToGrid w:val="0"/>
              <w:spacing w:line="360" w:lineRule="auto"/>
              <w:rPr>
                <w:rFonts w:ascii="宋体" w:hAnsi="宋体"/>
                <w:color w:val="auto"/>
                <w:szCs w:val="21"/>
              </w:rPr>
            </w:pPr>
            <w:r>
              <w:rPr>
                <w:rFonts w:hint="eastAsia" w:ascii="宋体" w:hAnsi="宋体"/>
                <w:color w:val="auto"/>
                <w:szCs w:val="21"/>
              </w:rPr>
              <w:t xml:space="preserve">  集合地点：</w:t>
            </w:r>
            <w:r>
              <w:rPr>
                <w:rFonts w:hint="eastAsia" w:ascii="宋体" w:hAnsi="宋体"/>
                <w:color w:val="auto"/>
                <w:szCs w:val="21"/>
                <w:u w:val="single"/>
              </w:rPr>
              <w:t xml:space="preserve"> / </w:t>
            </w:r>
          </w:p>
        </w:tc>
      </w:tr>
      <w:tr w14:paraId="66C60C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ign w:val="center"/>
          </w:tcPr>
          <w:p w14:paraId="5BEF5DC8">
            <w:pPr>
              <w:adjustRightInd w:val="0"/>
              <w:snapToGrid w:val="0"/>
              <w:spacing w:line="360" w:lineRule="auto"/>
              <w:rPr>
                <w:rFonts w:ascii="宋体" w:hAnsi="宋体"/>
                <w:b/>
                <w:color w:val="auto"/>
                <w:szCs w:val="21"/>
              </w:rPr>
            </w:pPr>
            <w:r>
              <w:rPr>
                <w:rFonts w:hint="eastAsia" w:ascii="宋体" w:hAnsi="宋体"/>
                <w:b/>
                <w:color w:val="auto"/>
                <w:szCs w:val="21"/>
              </w:rPr>
              <w:t>二、招标文件</w:t>
            </w:r>
          </w:p>
        </w:tc>
      </w:tr>
      <w:tr w14:paraId="3FB43E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3C2E618F">
            <w:pPr>
              <w:adjustRightInd w:val="0"/>
              <w:snapToGrid w:val="0"/>
              <w:spacing w:line="360" w:lineRule="auto"/>
              <w:jc w:val="center"/>
              <w:rPr>
                <w:rFonts w:ascii="宋体" w:hAnsi="宋体"/>
                <w:color w:val="auto"/>
                <w:szCs w:val="21"/>
              </w:rPr>
            </w:pPr>
            <w:r>
              <w:rPr>
                <w:rFonts w:hint="eastAsia" w:ascii="宋体" w:hAnsi="宋体"/>
                <w:color w:val="auto"/>
                <w:szCs w:val="21"/>
              </w:rPr>
              <w:t>第7.4</w:t>
            </w:r>
            <w:r>
              <w:rPr>
                <w:rFonts w:hint="eastAsia" w:ascii="宋体" w:hAnsi="宋体" w:cs="宋体"/>
                <w:color w:val="auto"/>
                <w:kern w:val="0"/>
                <w:szCs w:val="21"/>
                <w:lang w:val="zh-CN"/>
              </w:rPr>
              <w:t>款</w:t>
            </w:r>
          </w:p>
        </w:tc>
        <w:tc>
          <w:tcPr>
            <w:tcW w:w="2863" w:type="dxa"/>
            <w:noWrap/>
            <w:vAlign w:val="center"/>
          </w:tcPr>
          <w:p w14:paraId="1BAFD33D">
            <w:pPr>
              <w:adjustRightInd w:val="0"/>
              <w:snapToGrid w:val="0"/>
              <w:rPr>
                <w:rFonts w:ascii="宋体" w:hAnsi="宋体"/>
                <w:color w:val="auto"/>
                <w:szCs w:val="21"/>
              </w:rPr>
            </w:pPr>
            <w:r>
              <w:rPr>
                <w:rFonts w:hint="eastAsia" w:ascii="宋体" w:hAnsi="宋体"/>
                <w:color w:val="auto"/>
                <w:szCs w:val="21"/>
              </w:rPr>
              <w:t>非实质性偏离的范围和幅度</w:t>
            </w:r>
          </w:p>
        </w:tc>
        <w:tc>
          <w:tcPr>
            <w:tcW w:w="4508" w:type="dxa"/>
            <w:noWrap/>
            <w:vAlign w:val="center"/>
          </w:tcPr>
          <w:p w14:paraId="6320374E">
            <w:pPr>
              <w:adjustRightInd w:val="0"/>
              <w:snapToGrid w:val="0"/>
              <w:rPr>
                <w:rFonts w:ascii="宋体" w:hAnsi="宋体"/>
                <w:color w:val="auto"/>
                <w:szCs w:val="21"/>
              </w:rPr>
            </w:pPr>
            <w:r>
              <w:rPr>
                <w:rFonts w:hint="eastAsia" w:ascii="宋体" w:hAnsi="宋体"/>
                <w:color w:val="auto"/>
                <w:szCs w:val="21"/>
              </w:rPr>
              <w:t>一般技术和商务条款≥10项目将导致投标无效</w:t>
            </w:r>
          </w:p>
          <w:p w14:paraId="70D83779">
            <w:pPr>
              <w:adjustRightInd w:val="0"/>
              <w:snapToGrid w:val="0"/>
              <w:rPr>
                <w:rFonts w:ascii="宋体" w:hAnsi="宋体"/>
                <w:color w:val="auto"/>
                <w:szCs w:val="21"/>
              </w:rPr>
            </w:pPr>
          </w:p>
        </w:tc>
      </w:tr>
      <w:tr w14:paraId="3E686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24772627">
            <w:pPr>
              <w:adjustRightInd w:val="0"/>
              <w:snapToGrid w:val="0"/>
              <w:spacing w:line="360" w:lineRule="auto"/>
              <w:jc w:val="center"/>
              <w:rPr>
                <w:rFonts w:ascii="宋体" w:hAnsi="宋体"/>
                <w:color w:val="auto"/>
                <w:szCs w:val="21"/>
              </w:rPr>
            </w:pPr>
            <w:r>
              <w:rPr>
                <w:rFonts w:hint="eastAsia" w:ascii="宋体" w:hAnsi="宋体"/>
                <w:color w:val="auto"/>
                <w:szCs w:val="21"/>
              </w:rPr>
              <w:t>第9.1</w:t>
            </w:r>
            <w:r>
              <w:rPr>
                <w:rFonts w:hint="eastAsia" w:ascii="宋体" w:hAnsi="宋体" w:cs="宋体"/>
                <w:color w:val="auto"/>
                <w:kern w:val="0"/>
                <w:szCs w:val="21"/>
                <w:lang w:val="zh-CN"/>
              </w:rPr>
              <w:t>款</w:t>
            </w:r>
          </w:p>
        </w:tc>
        <w:tc>
          <w:tcPr>
            <w:tcW w:w="2863" w:type="dxa"/>
            <w:noWrap/>
            <w:vAlign w:val="center"/>
          </w:tcPr>
          <w:p w14:paraId="5901E36E">
            <w:pPr>
              <w:adjustRightInd w:val="0"/>
              <w:snapToGrid w:val="0"/>
              <w:rPr>
                <w:rFonts w:ascii="宋体" w:hAnsi="宋体"/>
                <w:color w:val="auto"/>
                <w:szCs w:val="21"/>
              </w:rPr>
            </w:pPr>
            <w:r>
              <w:rPr>
                <w:rFonts w:hint="eastAsia" w:ascii="宋体" w:hAnsi="宋体"/>
                <w:color w:val="auto"/>
                <w:szCs w:val="21"/>
              </w:rPr>
              <w:t>招标公告指定媒体</w:t>
            </w:r>
          </w:p>
        </w:tc>
        <w:tc>
          <w:tcPr>
            <w:tcW w:w="4508" w:type="dxa"/>
            <w:noWrap/>
            <w:vAlign w:val="center"/>
          </w:tcPr>
          <w:p w14:paraId="5BB9AED8">
            <w:pPr>
              <w:adjustRightInd w:val="0"/>
              <w:snapToGrid w:val="0"/>
              <w:rPr>
                <w:rFonts w:ascii="宋体" w:hAnsi="宋体"/>
                <w:color w:val="auto"/>
                <w:szCs w:val="21"/>
              </w:rPr>
            </w:pPr>
            <w:r>
              <w:rPr>
                <w:rFonts w:hint="eastAsia" w:ascii="宋体" w:hAnsi="宋体" w:cs="宋体"/>
                <w:color w:val="auto"/>
                <w:szCs w:val="21"/>
              </w:rPr>
              <w:t>娄底市万宝新区开发投资集团有限公司网站（http://www.wbtzjt.com/）及微信公众号</w:t>
            </w:r>
          </w:p>
        </w:tc>
      </w:tr>
      <w:tr w14:paraId="15CDAC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31" w:type="dxa"/>
            <w:gridSpan w:val="3"/>
            <w:noWrap/>
            <w:vAlign w:val="center"/>
          </w:tcPr>
          <w:p w14:paraId="41B7C1A0">
            <w:pPr>
              <w:adjustRightInd w:val="0"/>
              <w:snapToGrid w:val="0"/>
              <w:spacing w:line="360" w:lineRule="auto"/>
              <w:rPr>
                <w:rFonts w:ascii="宋体" w:hAnsi="宋体"/>
                <w:color w:val="auto"/>
                <w:szCs w:val="21"/>
              </w:rPr>
            </w:pPr>
            <w:r>
              <w:rPr>
                <w:rFonts w:hint="eastAsia" w:ascii="宋体" w:hAnsi="宋体"/>
                <w:b/>
                <w:color w:val="auto"/>
                <w:szCs w:val="21"/>
              </w:rPr>
              <w:t>三、投标文件</w:t>
            </w:r>
          </w:p>
        </w:tc>
      </w:tr>
      <w:tr w14:paraId="7CA8FF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7F01A201">
            <w:pPr>
              <w:adjustRightInd w:val="0"/>
              <w:snapToGrid w:val="0"/>
              <w:spacing w:line="360" w:lineRule="auto"/>
              <w:jc w:val="center"/>
              <w:rPr>
                <w:rFonts w:ascii="宋体" w:hAnsi="宋体"/>
                <w:color w:val="auto"/>
                <w:szCs w:val="21"/>
              </w:rPr>
            </w:pPr>
            <w:r>
              <w:rPr>
                <w:rFonts w:hint="eastAsia" w:ascii="宋体" w:hAnsi="宋体"/>
                <w:color w:val="auto"/>
                <w:szCs w:val="21"/>
              </w:rPr>
              <w:t>第13.2</w:t>
            </w:r>
            <w:r>
              <w:rPr>
                <w:rFonts w:hint="eastAsia" w:ascii="宋体" w:hAnsi="宋体" w:cs="宋体"/>
                <w:color w:val="auto"/>
                <w:kern w:val="0"/>
                <w:szCs w:val="21"/>
                <w:lang w:val="zh-CN"/>
              </w:rPr>
              <w:t>款</w:t>
            </w:r>
          </w:p>
        </w:tc>
        <w:tc>
          <w:tcPr>
            <w:tcW w:w="2863" w:type="dxa"/>
            <w:noWrap/>
            <w:vAlign w:val="center"/>
          </w:tcPr>
          <w:p w14:paraId="7D76FD04">
            <w:pPr>
              <w:adjustRightInd w:val="0"/>
              <w:snapToGrid w:val="0"/>
              <w:spacing w:line="360" w:lineRule="auto"/>
              <w:rPr>
                <w:rFonts w:ascii="宋体" w:hAnsi="宋体"/>
                <w:color w:val="auto"/>
                <w:szCs w:val="21"/>
              </w:rPr>
            </w:pPr>
            <w:r>
              <w:rPr>
                <w:rFonts w:hint="eastAsia" w:ascii="宋体" w:hAnsi="宋体"/>
                <w:color w:val="auto"/>
                <w:szCs w:val="21"/>
              </w:rPr>
              <w:t>采购项目最高限价</w:t>
            </w:r>
          </w:p>
        </w:tc>
        <w:tc>
          <w:tcPr>
            <w:tcW w:w="4508" w:type="dxa"/>
            <w:noWrap/>
            <w:vAlign w:val="center"/>
          </w:tcPr>
          <w:p w14:paraId="1B819E99">
            <w:pPr>
              <w:adjustRightInd w:val="0"/>
              <w:snapToGrid w:val="0"/>
              <w:spacing w:line="360" w:lineRule="auto"/>
              <w:rPr>
                <w:rFonts w:ascii="宋体" w:hAnsi="宋体"/>
                <w:color w:val="auto"/>
                <w:szCs w:val="21"/>
              </w:rPr>
            </w:pPr>
            <w:r>
              <w:rPr>
                <w:rFonts w:hint="eastAsia" w:ascii="宋体" w:hAnsi="宋体"/>
                <w:color w:val="auto"/>
                <w:szCs w:val="21"/>
              </w:rPr>
              <w:t>最高限价：</w:t>
            </w:r>
            <w:r>
              <w:rPr>
                <w:rFonts w:hint="eastAsia" w:ascii="宋体" w:hAnsi="宋体"/>
                <w:bCs/>
                <w:color w:val="auto"/>
                <w:szCs w:val="21"/>
                <w:u w:val="single"/>
              </w:rPr>
              <w:t>3</w:t>
            </w:r>
            <w:r>
              <w:rPr>
                <w:rFonts w:hint="eastAsia" w:ascii="宋体" w:hAnsi="宋体"/>
                <w:bCs/>
                <w:color w:val="auto"/>
                <w:szCs w:val="21"/>
                <w:u w:val="single"/>
                <w:lang w:val="en-US" w:eastAsia="zh-CN"/>
              </w:rPr>
              <w:t>1.43万</w:t>
            </w:r>
            <w:r>
              <w:rPr>
                <w:rStyle w:val="38"/>
                <w:rFonts w:hint="eastAsia" w:ascii="宋体" w:hAnsi="宋体"/>
                <w:color w:val="auto"/>
                <w:szCs w:val="21"/>
              </w:rPr>
              <w:t>元 。</w:t>
            </w:r>
          </w:p>
        </w:tc>
      </w:tr>
      <w:tr w14:paraId="51082F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74D54279">
            <w:pPr>
              <w:adjustRightInd w:val="0"/>
              <w:snapToGrid w:val="0"/>
              <w:spacing w:line="360" w:lineRule="auto"/>
              <w:jc w:val="center"/>
              <w:rPr>
                <w:rFonts w:ascii="宋体" w:hAnsi="宋体"/>
                <w:color w:val="auto"/>
                <w:szCs w:val="21"/>
              </w:rPr>
            </w:pPr>
            <w:r>
              <w:rPr>
                <w:rFonts w:hint="eastAsia" w:ascii="宋体" w:hAnsi="宋体"/>
                <w:color w:val="auto"/>
                <w:szCs w:val="21"/>
              </w:rPr>
              <w:t>第13.8款</w:t>
            </w:r>
          </w:p>
        </w:tc>
        <w:tc>
          <w:tcPr>
            <w:tcW w:w="2863" w:type="dxa"/>
            <w:noWrap/>
            <w:vAlign w:val="center"/>
          </w:tcPr>
          <w:p w14:paraId="6189A614">
            <w:pPr>
              <w:adjustRightInd w:val="0"/>
              <w:snapToGrid w:val="0"/>
              <w:spacing w:line="360" w:lineRule="auto"/>
              <w:rPr>
                <w:rFonts w:ascii="宋体" w:hAnsi="宋体"/>
                <w:color w:val="auto"/>
                <w:szCs w:val="21"/>
              </w:rPr>
            </w:pPr>
            <w:r>
              <w:rPr>
                <w:rFonts w:hint="eastAsia" w:ascii="宋体" w:hAnsi="宋体"/>
                <w:color w:val="auto"/>
                <w:szCs w:val="21"/>
              </w:rPr>
              <w:t>投标报价的其他要求</w:t>
            </w:r>
          </w:p>
        </w:tc>
        <w:tc>
          <w:tcPr>
            <w:tcW w:w="4508" w:type="dxa"/>
            <w:noWrap/>
            <w:vAlign w:val="center"/>
          </w:tcPr>
          <w:p w14:paraId="2D2DCAD4">
            <w:pPr>
              <w:adjustRightInd w:val="0"/>
              <w:snapToGrid w:val="0"/>
              <w:spacing w:line="360" w:lineRule="auto"/>
              <w:rPr>
                <w:rFonts w:ascii="宋体" w:hAnsi="宋体"/>
                <w:color w:val="auto"/>
                <w:szCs w:val="21"/>
              </w:rPr>
            </w:pPr>
            <w:r>
              <w:rPr>
                <w:rFonts w:hint="eastAsia" w:ascii="宋体" w:hAnsi="宋体"/>
                <w:color w:val="auto"/>
                <w:szCs w:val="21"/>
              </w:rPr>
              <w:t>投标人应按询价比选文件，以人民币进行报价。投标总价不得超过询价比选文件规定的限价，超过的作废标处理。（请供应商按照清单报价，</w:t>
            </w:r>
            <w:r>
              <w:rPr>
                <w:rFonts w:hint="eastAsia" w:ascii="宋体" w:hAnsi="宋体" w:cs="宋体"/>
                <w:bCs/>
                <w:color w:val="auto"/>
                <w:szCs w:val="21"/>
              </w:rPr>
              <w:t>暂列金额和暂估价不得变动（如有），否则为不合格投标人，作废标处理。）</w:t>
            </w:r>
          </w:p>
        </w:tc>
      </w:tr>
      <w:tr w14:paraId="18352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384FA65A">
            <w:pPr>
              <w:adjustRightInd w:val="0"/>
              <w:snapToGrid w:val="0"/>
              <w:spacing w:line="360" w:lineRule="auto"/>
              <w:jc w:val="center"/>
              <w:rPr>
                <w:rFonts w:ascii="宋体" w:hAnsi="宋体"/>
                <w:color w:val="auto"/>
                <w:szCs w:val="21"/>
              </w:rPr>
            </w:pPr>
            <w:r>
              <w:rPr>
                <w:rFonts w:hint="eastAsia" w:ascii="宋体" w:hAnsi="宋体"/>
                <w:color w:val="auto"/>
                <w:szCs w:val="21"/>
              </w:rPr>
              <w:t>第14.1款</w:t>
            </w:r>
          </w:p>
        </w:tc>
        <w:tc>
          <w:tcPr>
            <w:tcW w:w="2863" w:type="dxa"/>
            <w:noWrap/>
            <w:vAlign w:val="center"/>
          </w:tcPr>
          <w:p w14:paraId="04C8C1FA">
            <w:pPr>
              <w:adjustRightInd w:val="0"/>
              <w:snapToGrid w:val="0"/>
              <w:spacing w:line="360" w:lineRule="auto"/>
              <w:rPr>
                <w:rFonts w:ascii="宋体" w:hAnsi="宋体"/>
                <w:bCs/>
                <w:color w:val="auto"/>
                <w:szCs w:val="21"/>
              </w:rPr>
            </w:pPr>
            <w:r>
              <w:rPr>
                <w:rFonts w:hint="eastAsia" w:ascii="宋体" w:hAnsi="宋体"/>
                <w:color w:val="auto"/>
                <w:szCs w:val="21"/>
              </w:rPr>
              <w:t>投标人应提供资格审查资料</w:t>
            </w:r>
          </w:p>
        </w:tc>
        <w:tc>
          <w:tcPr>
            <w:tcW w:w="4508" w:type="dxa"/>
            <w:noWrap/>
            <w:vAlign w:val="center"/>
          </w:tcPr>
          <w:p w14:paraId="28465648">
            <w:pPr>
              <w:adjustRightInd w:val="0"/>
              <w:snapToGrid w:val="0"/>
              <w:spacing w:line="360" w:lineRule="auto"/>
              <w:rPr>
                <w:rFonts w:ascii="宋体" w:hAnsi="宋体"/>
                <w:color w:val="auto"/>
                <w:szCs w:val="21"/>
              </w:rPr>
            </w:pPr>
            <w:r>
              <w:rPr>
                <w:rFonts w:hint="eastAsia" w:ascii="宋体" w:hAnsi="宋体"/>
                <w:color w:val="auto"/>
                <w:szCs w:val="21"/>
              </w:rPr>
              <w:t>详见投标邀请</w:t>
            </w:r>
          </w:p>
        </w:tc>
      </w:tr>
      <w:tr w14:paraId="384A0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36B0420B">
            <w:pPr>
              <w:adjustRightInd w:val="0"/>
              <w:snapToGrid w:val="0"/>
              <w:spacing w:line="360" w:lineRule="auto"/>
              <w:jc w:val="center"/>
              <w:rPr>
                <w:rFonts w:ascii="宋体" w:hAnsi="宋体"/>
                <w:color w:val="auto"/>
                <w:szCs w:val="21"/>
              </w:rPr>
            </w:pPr>
            <w:r>
              <w:rPr>
                <w:rFonts w:hint="eastAsia" w:ascii="宋体" w:hAnsi="宋体"/>
                <w:color w:val="auto"/>
                <w:szCs w:val="21"/>
              </w:rPr>
              <w:t>第16.1</w:t>
            </w:r>
            <w:r>
              <w:rPr>
                <w:rFonts w:hint="eastAsia" w:ascii="宋体" w:hAnsi="宋体" w:cs="宋体"/>
                <w:color w:val="auto"/>
                <w:kern w:val="0"/>
                <w:szCs w:val="21"/>
                <w:lang w:val="zh-CN"/>
              </w:rPr>
              <w:t>款</w:t>
            </w:r>
          </w:p>
        </w:tc>
        <w:tc>
          <w:tcPr>
            <w:tcW w:w="2863" w:type="dxa"/>
            <w:noWrap/>
            <w:vAlign w:val="center"/>
          </w:tcPr>
          <w:p w14:paraId="709F0771">
            <w:pPr>
              <w:adjustRightInd w:val="0"/>
              <w:snapToGrid w:val="0"/>
              <w:spacing w:line="360" w:lineRule="auto"/>
              <w:jc w:val="left"/>
              <w:rPr>
                <w:rFonts w:ascii="宋体" w:hAnsi="宋体"/>
                <w:bCs/>
                <w:color w:val="auto"/>
                <w:szCs w:val="21"/>
              </w:rPr>
            </w:pPr>
            <w:r>
              <w:rPr>
                <w:rFonts w:hint="eastAsia" w:ascii="宋体" w:hAnsi="宋体"/>
                <w:bCs/>
                <w:color w:val="auto"/>
                <w:szCs w:val="21"/>
              </w:rPr>
              <w:t>投标有效期</w:t>
            </w:r>
          </w:p>
        </w:tc>
        <w:tc>
          <w:tcPr>
            <w:tcW w:w="4508" w:type="dxa"/>
            <w:noWrap/>
            <w:vAlign w:val="center"/>
          </w:tcPr>
          <w:p w14:paraId="7CF54EDC">
            <w:pPr>
              <w:adjustRightInd w:val="0"/>
              <w:snapToGrid w:val="0"/>
              <w:spacing w:line="360" w:lineRule="auto"/>
              <w:rPr>
                <w:rFonts w:ascii="宋体" w:hAnsi="宋体"/>
                <w:bCs/>
                <w:color w:val="auto"/>
                <w:szCs w:val="21"/>
              </w:rPr>
            </w:pPr>
            <w:r>
              <w:rPr>
                <w:rFonts w:hint="eastAsia" w:ascii="宋体" w:hAnsi="宋体"/>
                <w:bCs/>
                <w:color w:val="auto"/>
                <w:szCs w:val="21"/>
              </w:rPr>
              <w:t>90天（日历日）</w:t>
            </w:r>
          </w:p>
        </w:tc>
      </w:tr>
      <w:tr w14:paraId="3CE974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75C496D2">
            <w:pPr>
              <w:adjustRightInd w:val="0"/>
              <w:snapToGrid w:val="0"/>
              <w:spacing w:line="360" w:lineRule="auto"/>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7</w:t>
            </w:r>
            <w:r>
              <w:rPr>
                <w:rFonts w:hint="eastAsia" w:ascii="宋体" w:hAnsi="宋体" w:cs="宋体"/>
                <w:color w:val="auto"/>
                <w:kern w:val="0"/>
                <w:szCs w:val="21"/>
                <w:lang w:val="zh-CN"/>
              </w:rPr>
              <w:t>款</w:t>
            </w:r>
          </w:p>
        </w:tc>
        <w:tc>
          <w:tcPr>
            <w:tcW w:w="2863" w:type="dxa"/>
            <w:noWrap/>
            <w:vAlign w:val="center"/>
          </w:tcPr>
          <w:p w14:paraId="45BE3007">
            <w:pPr>
              <w:adjustRightInd w:val="0"/>
              <w:snapToGrid w:val="0"/>
              <w:spacing w:line="360" w:lineRule="auto"/>
              <w:jc w:val="left"/>
              <w:rPr>
                <w:rFonts w:ascii="宋体" w:hAnsi="宋体"/>
                <w:color w:val="auto"/>
                <w:szCs w:val="21"/>
              </w:rPr>
            </w:pPr>
            <w:r>
              <w:rPr>
                <w:rFonts w:hint="eastAsia" w:ascii="宋体" w:hAnsi="宋体"/>
                <w:bCs/>
                <w:color w:val="auto"/>
                <w:szCs w:val="21"/>
              </w:rPr>
              <w:t>分包</w:t>
            </w:r>
          </w:p>
        </w:tc>
        <w:tc>
          <w:tcPr>
            <w:tcW w:w="4508" w:type="dxa"/>
            <w:noWrap/>
            <w:vAlign w:val="center"/>
          </w:tcPr>
          <w:p w14:paraId="49DAB0E3">
            <w:pPr>
              <w:adjustRightInd w:val="0"/>
              <w:snapToGrid w:val="0"/>
              <w:spacing w:line="360" w:lineRule="auto"/>
              <w:jc w:val="left"/>
              <w:rPr>
                <w:rFonts w:ascii="宋体" w:hAnsi="宋体"/>
                <w:bCs/>
                <w:color w:val="auto"/>
                <w:szCs w:val="21"/>
              </w:rPr>
            </w:pPr>
            <w:r>
              <w:rPr>
                <w:rFonts w:hint="eastAsia" w:ascii="宋体" w:hAnsi="宋体"/>
                <w:bCs/>
                <w:color w:val="auto"/>
                <w:szCs w:val="21"/>
              </w:rPr>
              <w:t>禁止违法分包</w:t>
            </w:r>
          </w:p>
        </w:tc>
      </w:tr>
      <w:tr w14:paraId="450770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26C6DEC2">
            <w:pPr>
              <w:adjustRightInd w:val="0"/>
              <w:snapToGrid w:val="0"/>
              <w:spacing w:line="360" w:lineRule="auto"/>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8</w:t>
            </w:r>
            <w:r>
              <w:rPr>
                <w:rFonts w:hint="eastAsia" w:ascii="宋体" w:hAnsi="宋体"/>
                <w:color w:val="auto"/>
                <w:szCs w:val="21"/>
              </w:rPr>
              <w:t>.1</w:t>
            </w:r>
            <w:r>
              <w:rPr>
                <w:rFonts w:hint="eastAsia" w:ascii="宋体" w:hAnsi="宋体" w:cs="宋体"/>
                <w:color w:val="auto"/>
                <w:kern w:val="0"/>
                <w:szCs w:val="21"/>
                <w:lang w:val="zh-CN"/>
              </w:rPr>
              <w:t>款</w:t>
            </w:r>
          </w:p>
        </w:tc>
        <w:tc>
          <w:tcPr>
            <w:tcW w:w="2863" w:type="dxa"/>
            <w:noWrap/>
            <w:vAlign w:val="center"/>
          </w:tcPr>
          <w:p w14:paraId="7A690F86">
            <w:pPr>
              <w:adjustRightInd w:val="0"/>
              <w:snapToGrid w:val="0"/>
              <w:spacing w:line="360" w:lineRule="auto"/>
              <w:jc w:val="left"/>
              <w:rPr>
                <w:rFonts w:ascii="宋体" w:hAnsi="宋体"/>
                <w:bCs/>
                <w:color w:val="auto"/>
                <w:szCs w:val="21"/>
              </w:rPr>
            </w:pPr>
            <w:r>
              <w:rPr>
                <w:rFonts w:hint="eastAsia" w:ascii="宋体" w:hAnsi="宋体"/>
                <w:bCs/>
                <w:color w:val="auto"/>
                <w:szCs w:val="21"/>
              </w:rPr>
              <w:t>投标文件份数</w:t>
            </w:r>
          </w:p>
        </w:tc>
        <w:tc>
          <w:tcPr>
            <w:tcW w:w="4508" w:type="dxa"/>
            <w:noWrap/>
            <w:vAlign w:val="center"/>
          </w:tcPr>
          <w:p w14:paraId="1A4F96A4">
            <w:pPr>
              <w:adjustRightInd w:val="0"/>
              <w:snapToGrid w:val="0"/>
              <w:spacing w:line="360" w:lineRule="auto"/>
              <w:jc w:val="left"/>
              <w:rPr>
                <w:rFonts w:ascii="宋体" w:hAnsi="宋体"/>
                <w:bCs/>
                <w:color w:val="auto"/>
                <w:szCs w:val="21"/>
              </w:rPr>
            </w:pPr>
            <w:r>
              <w:rPr>
                <w:rFonts w:hint="eastAsia"/>
                <w:color w:val="auto"/>
                <w:szCs w:val="21"/>
              </w:rPr>
              <w:t>投标文件根据文件要求制作，纸质文件壹</w:t>
            </w:r>
            <w:r>
              <w:rPr>
                <w:color w:val="auto"/>
                <w:szCs w:val="21"/>
              </w:rPr>
              <w:t>式</w:t>
            </w:r>
            <w:r>
              <w:rPr>
                <w:rFonts w:hint="eastAsia"/>
                <w:color w:val="auto"/>
                <w:szCs w:val="21"/>
                <w:u w:val="single"/>
              </w:rPr>
              <w:t>贰</w:t>
            </w:r>
            <w:r>
              <w:rPr>
                <w:color w:val="auto"/>
                <w:szCs w:val="21"/>
              </w:rPr>
              <w:t>份，其中：正本</w:t>
            </w:r>
            <w:r>
              <w:rPr>
                <w:rFonts w:hint="eastAsia"/>
                <w:color w:val="auto"/>
                <w:szCs w:val="21"/>
                <w:u w:val="single"/>
              </w:rPr>
              <w:t>壹</w:t>
            </w:r>
            <w:r>
              <w:rPr>
                <w:color w:val="auto"/>
                <w:szCs w:val="21"/>
              </w:rPr>
              <w:t>份，副本</w:t>
            </w:r>
            <w:r>
              <w:rPr>
                <w:rFonts w:hint="eastAsia"/>
                <w:color w:val="auto"/>
                <w:szCs w:val="21"/>
                <w:u w:val="single"/>
              </w:rPr>
              <w:t>壹</w:t>
            </w:r>
            <w:r>
              <w:rPr>
                <w:color w:val="auto"/>
                <w:szCs w:val="21"/>
              </w:rPr>
              <w:t>份；</w:t>
            </w:r>
            <w:r>
              <w:rPr>
                <w:rFonts w:hint="eastAsia"/>
                <w:color w:val="auto"/>
                <w:szCs w:val="21"/>
              </w:rPr>
              <w:t>电子档U盘一份。</w:t>
            </w:r>
            <w:r>
              <w:rPr>
                <w:color w:val="auto"/>
              </w:rPr>
              <w:t>正本和副本的封面上应清楚地标记“正本”或“副本”的字样。当副本和正本不一致时，以正本为准。</w:t>
            </w:r>
          </w:p>
        </w:tc>
      </w:tr>
      <w:tr w14:paraId="67CC23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ign w:val="center"/>
          </w:tcPr>
          <w:p w14:paraId="7EF7A1CA">
            <w:pPr>
              <w:adjustRightInd w:val="0"/>
              <w:snapToGrid w:val="0"/>
              <w:spacing w:line="360" w:lineRule="auto"/>
              <w:rPr>
                <w:rFonts w:ascii="宋体" w:hAnsi="宋体"/>
                <w:b/>
                <w:bCs/>
                <w:color w:val="auto"/>
                <w:szCs w:val="21"/>
              </w:rPr>
            </w:pPr>
            <w:r>
              <w:rPr>
                <w:rFonts w:hint="eastAsia" w:ascii="宋体" w:hAnsi="宋体"/>
                <w:b/>
                <w:color w:val="auto"/>
                <w:szCs w:val="21"/>
              </w:rPr>
              <w:t>四、投标</w:t>
            </w:r>
          </w:p>
        </w:tc>
      </w:tr>
      <w:tr w14:paraId="18094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4B1E1E64">
            <w:pPr>
              <w:adjustRightInd w:val="0"/>
              <w:snapToGrid w:val="0"/>
              <w:spacing w:line="360" w:lineRule="auto"/>
              <w:jc w:val="center"/>
              <w:rPr>
                <w:rFonts w:ascii="宋体" w:hAnsi="宋体"/>
                <w:color w:val="auto"/>
                <w:szCs w:val="21"/>
              </w:rPr>
            </w:pPr>
            <w:r>
              <w:rPr>
                <w:rFonts w:hint="eastAsia" w:ascii="宋体" w:hAnsi="宋体"/>
                <w:color w:val="auto"/>
                <w:szCs w:val="21"/>
              </w:rPr>
              <w:t>第2</w:t>
            </w:r>
            <w:r>
              <w:rPr>
                <w:rFonts w:hint="eastAsia" w:ascii="宋体" w:hAnsi="宋体"/>
                <w:color w:val="auto"/>
                <w:szCs w:val="21"/>
                <w:lang w:val="en-US" w:eastAsia="zh-CN"/>
              </w:rPr>
              <w:t>0</w:t>
            </w:r>
            <w:r>
              <w:rPr>
                <w:rFonts w:hint="eastAsia" w:ascii="宋体" w:hAnsi="宋体"/>
                <w:color w:val="auto"/>
                <w:szCs w:val="21"/>
              </w:rPr>
              <w:t>.1</w:t>
            </w:r>
            <w:r>
              <w:rPr>
                <w:rFonts w:hint="eastAsia" w:ascii="宋体" w:hAnsi="宋体" w:cs="宋体"/>
                <w:color w:val="auto"/>
                <w:kern w:val="0"/>
                <w:szCs w:val="21"/>
                <w:lang w:val="zh-CN"/>
              </w:rPr>
              <w:t>款</w:t>
            </w:r>
          </w:p>
        </w:tc>
        <w:tc>
          <w:tcPr>
            <w:tcW w:w="2863" w:type="dxa"/>
            <w:noWrap/>
            <w:vAlign w:val="center"/>
          </w:tcPr>
          <w:p w14:paraId="3D992086">
            <w:pPr>
              <w:adjustRightInd w:val="0"/>
              <w:snapToGrid w:val="0"/>
              <w:spacing w:line="360" w:lineRule="auto"/>
              <w:jc w:val="left"/>
              <w:rPr>
                <w:rFonts w:ascii="宋体" w:hAnsi="宋体"/>
                <w:color w:val="auto"/>
                <w:szCs w:val="21"/>
              </w:rPr>
            </w:pPr>
            <w:r>
              <w:rPr>
                <w:rFonts w:hint="eastAsia" w:ascii="宋体" w:hAnsi="宋体"/>
                <w:color w:val="auto"/>
                <w:szCs w:val="21"/>
              </w:rPr>
              <w:t>投标截止时间及投标地点</w:t>
            </w:r>
          </w:p>
        </w:tc>
        <w:tc>
          <w:tcPr>
            <w:tcW w:w="4508" w:type="dxa"/>
            <w:noWrap/>
            <w:vAlign w:val="center"/>
          </w:tcPr>
          <w:p w14:paraId="68723CEA">
            <w:pPr>
              <w:adjustRightInd w:val="0"/>
              <w:snapToGrid w:val="0"/>
              <w:spacing w:line="360" w:lineRule="auto"/>
              <w:rPr>
                <w:rFonts w:ascii="宋体" w:hAnsi="宋体"/>
                <w:color w:val="auto"/>
                <w:szCs w:val="21"/>
              </w:rPr>
            </w:pPr>
            <w:r>
              <w:rPr>
                <w:rFonts w:hint="eastAsia" w:ascii="宋体" w:hAnsi="宋体"/>
                <w:color w:val="auto"/>
                <w:szCs w:val="21"/>
              </w:rPr>
              <w:t>投标截止时间：</w:t>
            </w:r>
            <w:r>
              <w:rPr>
                <w:rFonts w:hint="eastAsia" w:ascii="宋体" w:hAnsi="宋体" w:cs="宋体"/>
                <w:color w:val="auto"/>
                <w:szCs w:val="21"/>
                <w:u w:val="single"/>
              </w:rPr>
              <w:t>2025年</w:t>
            </w:r>
            <w:r>
              <w:rPr>
                <w:rFonts w:hint="eastAsia" w:ascii="宋体" w:hAnsi="宋体" w:cs="宋体"/>
                <w:color w:val="auto"/>
                <w:szCs w:val="21"/>
                <w:u w:val="single"/>
                <w:lang w:val="en-US" w:eastAsia="zh-CN"/>
              </w:rPr>
              <w:t>09</w:t>
            </w:r>
            <w:r>
              <w:rPr>
                <w:rFonts w:hint="eastAsia" w:ascii="宋体" w:hAnsi="宋体" w:cs="宋体"/>
                <w:color w:val="auto"/>
                <w:szCs w:val="21"/>
                <w:u w:val="single"/>
              </w:rPr>
              <w:t>月</w:t>
            </w:r>
            <w:r>
              <w:rPr>
                <w:rFonts w:hint="eastAsia" w:ascii="宋体" w:hAnsi="宋体" w:cs="宋体"/>
                <w:color w:val="auto"/>
                <w:szCs w:val="21"/>
                <w:u w:val="single"/>
                <w:lang w:val="en-US" w:eastAsia="zh-CN"/>
              </w:rPr>
              <w:t>23</w:t>
            </w:r>
            <w:r>
              <w:rPr>
                <w:rFonts w:hint="eastAsia" w:ascii="宋体" w:hAnsi="宋体" w:cs="宋体"/>
                <w:color w:val="auto"/>
                <w:szCs w:val="21"/>
                <w:u w:val="single"/>
              </w:rPr>
              <w:t>日09 时00 分</w:t>
            </w:r>
          </w:p>
          <w:p w14:paraId="4D459D53">
            <w:pPr>
              <w:adjustRightInd w:val="0"/>
              <w:snapToGrid w:val="0"/>
              <w:spacing w:line="360" w:lineRule="auto"/>
              <w:rPr>
                <w:rFonts w:ascii="宋体" w:hAnsi="宋体"/>
                <w:bCs/>
                <w:color w:val="auto"/>
                <w:szCs w:val="21"/>
              </w:rPr>
            </w:pPr>
            <w:r>
              <w:rPr>
                <w:rFonts w:hint="eastAsia" w:ascii="宋体" w:hAnsi="宋体"/>
                <w:color w:val="auto"/>
                <w:szCs w:val="21"/>
              </w:rPr>
              <w:t>投标地点：</w:t>
            </w:r>
            <w:r>
              <w:rPr>
                <w:rFonts w:hint="eastAsia" w:ascii="宋体" w:hAnsi="宋体" w:cs="宋体"/>
                <w:color w:val="auto"/>
                <w:szCs w:val="21"/>
              </w:rPr>
              <w:t>娄底市万宝新区开发投资集团有限公司</w:t>
            </w:r>
            <w:r>
              <w:rPr>
                <w:rFonts w:hint="eastAsia" w:ascii="宋体" w:hAnsi="宋体" w:cs="宋体"/>
                <w:color w:val="auto"/>
                <w:szCs w:val="21"/>
                <w:u w:val="single"/>
              </w:rPr>
              <w:t>519会议室</w:t>
            </w:r>
            <w:r>
              <w:rPr>
                <w:rFonts w:hint="eastAsia" w:ascii="宋体" w:hAnsi="宋体" w:cs="宋体"/>
                <w:color w:val="auto"/>
                <w:szCs w:val="21"/>
              </w:rPr>
              <w:t>（娄底市静安街百弘学府城B6栋5楼）</w:t>
            </w:r>
            <w:r>
              <w:rPr>
                <w:rFonts w:hint="eastAsia" w:ascii="宋体" w:hAnsi="宋体"/>
                <w:color w:val="auto"/>
                <w:szCs w:val="21"/>
              </w:rPr>
              <w:t xml:space="preserve">    </w:t>
            </w:r>
          </w:p>
        </w:tc>
      </w:tr>
      <w:tr w14:paraId="14C667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ign w:val="center"/>
          </w:tcPr>
          <w:p w14:paraId="2C7C955E">
            <w:pPr>
              <w:adjustRightInd w:val="0"/>
              <w:snapToGrid w:val="0"/>
              <w:spacing w:line="360" w:lineRule="auto"/>
              <w:rPr>
                <w:rFonts w:ascii="宋体" w:hAnsi="宋体"/>
                <w:color w:val="auto"/>
                <w:szCs w:val="21"/>
              </w:rPr>
            </w:pPr>
            <w:r>
              <w:rPr>
                <w:rFonts w:hint="eastAsia" w:ascii="宋体" w:hAnsi="宋体"/>
                <w:b/>
                <w:bCs/>
                <w:color w:val="auto"/>
                <w:szCs w:val="21"/>
              </w:rPr>
              <w:t>五、开标、资格审查和评标</w:t>
            </w:r>
          </w:p>
        </w:tc>
      </w:tr>
      <w:tr w14:paraId="7298A4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5BC8668F">
            <w:pPr>
              <w:adjustRightInd w:val="0"/>
              <w:snapToGrid w:val="0"/>
              <w:spacing w:line="360" w:lineRule="auto"/>
              <w:jc w:val="center"/>
              <w:rPr>
                <w:rFonts w:ascii="宋体" w:hAnsi="宋体"/>
                <w:color w:val="auto"/>
                <w:szCs w:val="21"/>
              </w:rPr>
            </w:pPr>
            <w:r>
              <w:rPr>
                <w:rFonts w:hint="eastAsia" w:ascii="宋体" w:hAnsi="宋体"/>
                <w:color w:val="auto"/>
                <w:szCs w:val="21"/>
              </w:rPr>
              <w:t>第2</w:t>
            </w:r>
            <w:r>
              <w:rPr>
                <w:rFonts w:hint="eastAsia" w:ascii="宋体" w:hAnsi="宋体"/>
                <w:color w:val="auto"/>
                <w:szCs w:val="21"/>
                <w:lang w:val="en-US" w:eastAsia="zh-CN"/>
              </w:rPr>
              <w:t>3</w:t>
            </w:r>
            <w:r>
              <w:rPr>
                <w:rFonts w:hint="eastAsia" w:ascii="宋体" w:hAnsi="宋体"/>
                <w:color w:val="auto"/>
                <w:szCs w:val="21"/>
              </w:rPr>
              <w:t>.1</w:t>
            </w:r>
            <w:r>
              <w:rPr>
                <w:rFonts w:hint="eastAsia" w:ascii="宋体" w:hAnsi="宋体" w:cs="宋体"/>
                <w:color w:val="auto"/>
                <w:kern w:val="0"/>
                <w:szCs w:val="21"/>
                <w:lang w:val="zh-CN"/>
              </w:rPr>
              <w:t>款</w:t>
            </w:r>
          </w:p>
        </w:tc>
        <w:tc>
          <w:tcPr>
            <w:tcW w:w="2863" w:type="dxa"/>
            <w:noWrap/>
            <w:vAlign w:val="center"/>
          </w:tcPr>
          <w:p w14:paraId="40F11021">
            <w:pPr>
              <w:adjustRightInd w:val="0"/>
              <w:snapToGrid w:val="0"/>
              <w:spacing w:line="360" w:lineRule="auto"/>
              <w:jc w:val="left"/>
              <w:rPr>
                <w:rFonts w:ascii="宋体" w:hAnsi="宋体"/>
                <w:color w:val="auto"/>
                <w:szCs w:val="21"/>
              </w:rPr>
            </w:pPr>
            <w:r>
              <w:rPr>
                <w:rFonts w:hint="eastAsia" w:ascii="宋体" w:hAnsi="宋体"/>
                <w:bCs/>
                <w:color w:val="auto"/>
                <w:szCs w:val="21"/>
              </w:rPr>
              <w:t>开标地点</w:t>
            </w:r>
            <w:r>
              <w:rPr>
                <w:rFonts w:hint="eastAsia" w:ascii="宋体" w:hAnsi="宋体"/>
                <w:color w:val="auto"/>
                <w:szCs w:val="21"/>
              </w:rPr>
              <w:t xml:space="preserve"> </w:t>
            </w:r>
          </w:p>
        </w:tc>
        <w:tc>
          <w:tcPr>
            <w:tcW w:w="4508" w:type="dxa"/>
            <w:noWrap/>
            <w:vAlign w:val="center"/>
          </w:tcPr>
          <w:p w14:paraId="00A5EEDB">
            <w:pPr>
              <w:adjustRightInd w:val="0"/>
              <w:snapToGrid w:val="0"/>
              <w:spacing w:line="360" w:lineRule="auto"/>
              <w:rPr>
                <w:rFonts w:ascii="MS Gothic" w:hAnsi="MS Gothic" w:cs="MS Gothic"/>
                <w:color w:val="auto"/>
                <w:szCs w:val="21"/>
              </w:rPr>
            </w:pPr>
            <w:r>
              <w:rPr>
                <w:rFonts w:hint="eastAsia" w:ascii="MS Gothic" w:hAnsi="MS Gothic" w:eastAsia="MS Gothic" w:cs="MS Gothic"/>
                <w:color w:val="auto"/>
                <w:szCs w:val="21"/>
              </w:rPr>
              <w:t>■</w:t>
            </w:r>
            <w:r>
              <w:rPr>
                <w:rFonts w:hint="eastAsia" w:ascii="宋体" w:hAnsi="宋体"/>
                <w:color w:val="auto"/>
                <w:szCs w:val="21"/>
              </w:rPr>
              <w:t>同投标地点</w:t>
            </w:r>
          </w:p>
          <w:p w14:paraId="7C080B3F">
            <w:pPr>
              <w:adjustRightInd w:val="0"/>
              <w:snapToGrid w:val="0"/>
              <w:spacing w:line="360" w:lineRule="auto"/>
              <w:rPr>
                <w:rFonts w:ascii="宋体" w:hAnsi="宋体"/>
                <w:color w:val="auto"/>
                <w:szCs w:val="21"/>
              </w:rPr>
            </w:pPr>
            <w:r>
              <w:rPr>
                <w:rFonts w:ascii="MS Gothic" w:hAnsi="MS Gothic" w:cs="MS Gothic"/>
                <w:color w:val="auto"/>
                <w:szCs w:val="21"/>
              </w:rPr>
              <w:t>☐</w:t>
            </w:r>
            <w:r>
              <w:rPr>
                <w:rFonts w:hint="eastAsia" w:ascii="MS Gothic" w:hAnsi="MS Gothic" w:cs="MS Gothic"/>
                <w:color w:val="auto"/>
                <w:szCs w:val="21"/>
              </w:rPr>
              <w:t>其他地点：</w:t>
            </w:r>
          </w:p>
        </w:tc>
      </w:tr>
      <w:tr w14:paraId="7B78AC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4D878F19">
            <w:pPr>
              <w:adjustRightInd w:val="0"/>
              <w:snapToGrid w:val="0"/>
              <w:spacing w:line="360" w:lineRule="auto"/>
              <w:jc w:val="center"/>
              <w:rPr>
                <w:rFonts w:ascii="宋体" w:hAnsi="宋体"/>
                <w:color w:val="auto"/>
                <w:szCs w:val="21"/>
              </w:rPr>
            </w:pPr>
            <w:r>
              <w:rPr>
                <w:rFonts w:hint="eastAsia" w:ascii="宋体" w:hAnsi="宋体"/>
                <w:color w:val="auto"/>
                <w:szCs w:val="21"/>
              </w:rPr>
              <w:t>第2</w:t>
            </w:r>
            <w:r>
              <w:rPr>
                <w:rFonts w:hint="eastAsia" w:ascii="宋体" w:hAnsi="宋体"/>
                <w:color w:val="auto"/>
                <w:szCs w:val="21"/>
                <w:lang w:val="en-US" w:eastAsia="zh-CN"/>
              </w:rPr>
              <w:t>3</w:t>
            </w:r>
            <w:r>
              <w:rPr>
                <w:rFonts w:hint="eastAsia" w:ascii="宋体" w:hAnsi="宋体"/>
                <w:color w:val="auto"/>
                <w:szCs w:val="21"/>
              </w:rPr>
              <w:t>.2</w:t>
            </w:r>
            <w:r>
              <w:rPr>
                <w:rFonts w:hint="eastAsia" w:ascii="宋体" w:hAnsi="宋体" w:cs="宋体"/>
                <w:color w:val="auto"/>
                <w:kern w:val="0"/>
                <w:szCs w:val="21"/>
                <w:lang w:val="zh-CN"/>
              </w:rPr>
              <w:t>款</w:t>
            </w:r>
          </w:p>
        </w:tc>
        <w:tc>
          <w:tcPr>
            <w:tcW w:w="2863" w:type="dxa"/>
            <w:noWrap/>
            <w:vAlign w:val="center"/>
          </w:tcPr>
          <w:p w14:paraId="16EA69DB">
            <w:pPr>
              <w:adjustRightInd w:val="0"/>
              <w:snapToGrid w:val="0"/>
              <w:spacing w:line="360" w:lineRule="auto"/>
              <w:jc w:val="left"/>
              <w:rPr>
                <w:rFonts w:ascii="宋体" w:hAnsi="宋体"/>
                <w:color w:val="auto"/>
                <w:szCs w:val="21"/>
              </w:rPr>
            </w:pPr>
            <w:r>
              <w:rPr>
                <w:rFonts w:hint="eastAsia" w:ascii="宋体" w:hAnsi="宋体"/>
                <w:color w:val="auto"/>
                <w:szCs w:val="21"/>
              </w:rPr>
              <w:t>需要宣布的其他内容</w:t>
            </w:r>
          </w:p>
        </w:tc>
        <w:tc>
          <w:tcPr>
            <w:tcW w:w="4508" w:type="dxa"/>
            <w:noWrap/>
            <w:vAlign w:val="center"/>
          </w:tcPr>
          <w:p w14:paraId="7105FEDF">
            <w:pPr>
              <w:adjustRightInd w:val="0"/>
              <w:snapToGrid w:val="0"/>
              <w:spacing w:line="360" w:lineRule="auto"/>
              <w:rPr>
                <w:rFonts w:ascii="宋体" w:hAnsi="宋体"/>
                <w:color w:val="auto"/>
                <w:szCs w:val="21"/>
              </w:rPr>
            </w:pPr>
            <w:r>
              <w:rPr>
                <w:rFonts w:hint="eastAsia" w:ascii="宋体" w:hAnsi="宋体"/>
                <w:color w:val="auto"/>
                <w:szCs w:val="21"/>
              </w:rPr>
              <w:t>投标报价</w:t>
            </w:r>
          </w:p>
        </w:tc>
      </w:tr>
      <w:tr w14:paraId="4DC96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ign w:val="center"/>
          </w:tcPr>
          <w:p w14:paraId="79B5B9DC">
            <w:pPr>
              <w:adjustRightInd w:val="0"/>
              <w:snapToGrid w:val="0"/>
              <w:spacing w:line="360" w:lineRule="auto"/>
              <w:rPr>
                <w:rFonts w:ascii="宋体" w:hAnsi="宋体"/>
                <w:b/>
                <w:color w:val="auto"/>
                <w:szCs w:val="21"/>
              </w:rPr>
            </w:pPr>
            <w:r>
              <w:rPr>
                <w:rFonts w:hint="eastAsia" w:ascii="宋体" w:hAnsi="宋体"/>
                <w:b/>
                <w:color w:val="auto"/>
                <w:szCs w:val="21"/>
              </w:rPr>
              <w:t>六、中标信息公布</w:t>
            </w:r>
          </w:p>
        </w:tc>
      </w:tr>
      <w:tr w14:paraId="634FE6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3152895B">
            <w:pPr>
              <w:adjustRightInd w:val="0"/>
              <w:snapToGrid w:val="0"/>
              <w:spacing w:line="360" w:lineRule="auto"/>
              <w:jc w:val="center"/>
              <w:rPr>
                <w:rFonts w:ascii="宋体" w:hAnsi="宋体"/>
                <w:color w:val="auto"/>
                <w:szCs w:val="21"/>
              </w:rPr>
            </w:pPr>
            <w:r>
              <w:rPr>
                <w:rFonts w:hint="eastAsia" w:ascii="宋体" w:hAnsi="宋体"/>
                <w:color w:val="auto"/>
                <w:szCs w:val="21"/>
              </w:rPr>
              <w:t>第2</w:t>
            </w:r>
            <w:r>
              <w:rPr>
                <w:rFonts w:hint="eastAsia" w:ascii="宋体" w:hAnsi="宋体"/>
                <w:color w:val="auto"/>
                <w:szCs w:val="21"/>
                <w:lang w:val="en-US" w:eastAsia="zh-CN"/>
              </w:rPr>
              <w:t>7.1</w:t>
            </w:r>
            <w:r>
              <w:rPr>
                <w:rFonts w:hint="eastAsia" w:ascii="宋体" w:hAnsi="宋体" w:cs="宋体"/>
                <w:color w:val="auto"/>
                <w:kern w:val="0"/>
                <w:szCs w:val="21"/>
                <w:lang w:val="zh-CN"/>
              </w:rPr>
              <w:t>款</w:t>
            </w:r>
          </w:p>
        </w:tc>
        <w:tc>
          <w:tcPr>
            <w:tcW w:w="2863" w:type="dxa"/>
            <w:noWrap/>
            <w:vAlign w:val="center"/>
          </w:tcPr>
          <w:p w14:paraId="2AE8643F">
            <w:pPr>
              <w:adjustRightInd w:val="0"/>
              <w:snapToGrid w:val="0"/>
              <w:spacing w:line="360" w:lineRule="auto"/>
              <w:jc w:val="left"/>
              <w:rPr>
                <w:rFonts w:ascii="宋体" w:hAnsi="宋体"/>
                <w:color w:val="auto"/>
                <w:szCs w:val="21"/>
              </w:rPr>
            </w:pPr>
            <w:r>
              <w:rPr>
                <w:rFonts w:hint="eastAsia" w:ascii="宋体" w:hAnsi="宋体"/>
                <w:color w:val="auto"/>
                <w:szCs w:val="21"/>
              </w:rPr>
              <w:t>中标候选人并列时确定中标人的方式</w:t>
            </w:r>
          </w:p>
        </w:tc>
        <w:tc>
          <w:tcPr>
            <w:tcW w:w="4508" w:type="dxa"/>
            <w:noWrap/>
            <w:vAlign w:val="center"/>
          </w:tcPr>
          <w:p w14:paraId="20C6CEDA">
            <w:pPr>
              <w:pStyle w:val="40"/>
              <w:widowControl w:val="0"/>
              <w:spacing w:line="360" w:lineRule="auto"/>
              <w:ind w:firstLine="420" w:firstLineChars="200"/>
              <w:rPr>
                <w:rFonts w:ascii="宋体" w:hAnsi="宋体"/>
                <w:color w:val="auto"/>
              </w:rPr>
            </w:pPr>
            <w:r>
              <w:rPr>
                <w:rFonts w:hint="eastAsia" w:ascii="宋体" w:hAnsi="宋体"/>
                <w:color w:val="auto"/>
              </w:rPr>
              <w:t>完全满足询价比选文件实质性需求且综合得分最高的单位为中标单位，得分相同的，按投标报价由低到高顺序排列；得分且投标报价相同的，按技术服务指标优劣顺序排列；以上因素仍相同的，采取随机抽取的方式确定。</w:t>
            </w:r>
          </w:p>
        </w:tc>
      </w:tr>
      <w:tr w14:paraId="7FD77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ign w:val="center"/>
          </w:tcPr>
          <w:p w14:paraId="7C12A5F2">
            <w:pPr>
              <w:adjustRightInd w:val="0"/>
              <w:snapToGrid w:val="0"/>
              <w:spacing w:line="360" w:lineRule="auto"/>
              <w:rPr>
                <w:rFonts w:ascii="宋体" w:hAnsi="宋体"/>
                <w:color w:val="auto"/>
                <w:szCs w:val="21"/>
              </w:rPr>
            </w:pPr>
            <w:r>
              <w:rPr>
                <w:rFonts w:hint="eastAsia" w:ascii="宋体" w:hAnsi="宋体"/>
                <w:b/>
                <w:color w:val="auto"/>
                <w:szCs w:val="21"/>
              </w:rPr>
              <w:t>八、其他规定</w:t>
            </w:r>
          </w:p>
        </w:tc>
      </w:tr>
      <w:tr w14:paraId="35536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5C8D3FD4">
            <w:pPr>
              <w:adjustRightInd w:val="0"/>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rPr>
              <w:t>第3</w:t>
            </w:r>
            <w:r>
              <w:rPr>
                <w:rFonts w:hint="eastAsia" w:ascii="宋体" w:hAnsi="宋体"/>
                <w:color w:val="auto"/>
                <w:szCs w:val="21"/>
                <w:lang w:val="en-US" w:eastAsia="zh-CN"/>
              </w:rPr>
              <w:t>2</w:t>
            </w:r>
            <w:r>
              <w:rPr>
                <w:rFonts w:hint="eastAsia" w:ascii="宋体" w:hAnsi="宋体"/>
                <w:color w:val="auto"/>
                <w:szCs w:val="21"/>
              </w:rPr>
              <w:t>.1</w:t>
            </w:r>
            <w:r>
              <w:rPr>
                <w:rFonts w:hint="eastAsia" w:ascii="宋体" w:hAnsi="宋体" w:cs="宋体"/>
                <w:color w:val="auto"/>
                <w:kern w:val="0"/>
                <w:szCs w:val="21"/>
                <w:lang w:val="en-US" w:eastAsia="zh-CN"/>
              </w:rPr>
              <w:t>款</w:t>
            </w:r>
          </w:p>
        </w:tc>
        <w:tc>
          <w:tcPr>
            <w:tcW w:w="2863" w:type="dxa"/>
            <w:noWrap/>
            <w:vAlign w:val="center"/>
          </w:tcPr>
          <w:p w14:paraId="61A295F5">
            <w:pPr>
              <w:adjustRightInd w:val="0"/>
              <w:snapToGrid w:val="0"/>
              <w:spacing w:line="360" w:lineRule="auto"/>
              <w:jc w:val="center"/>
              <w:rPr>
                <w:rFonts w:ascii="宋体" w:hAnsi="宋体"/>
                <w:color w:val="auto"/>
                <w:szCs w:val="21"/>
              </w:rPr>
            </w:pPr>
            <w:r>
              <w:rPr>
                <w:rFonts w:hint="eastAsia" w:ascii="宋体" w:hAnsi="宋体"/>
                <w:color w:val="auto"/>
                <w:szCs w:val="21"/>
              </w:rPr>
              <w:t>合同预付款的支付比例和支付条件</w:t>
            </w:r>
          </w:p>
        </w:tc>
        <w:tc>
          <w:tcPr>
            <w:tcW w:w="4508" w:type="dxa"/>
            <w:noWrap/>
            <w:vAlign w:val="center"/>
          </w:tcPr>
          <w:p w14:paraId="2FCD1F89">
            <w:pPr>
              <w:adjustRightInd w:val="0"/>
              <w:snapToGrid w:val="0"/>
              <w:spacing w:line="360" w:lineRule="auto"/>
              <w:rPr>
                <w:rFonts w:ascii="宋体" w:hAnsi="宋体"/>
                <w:color w:val="auto"/>
                <w:szCs w:val="21"/>
              </w:rPr>
            </w:pPr>
            <w:r>
              <w:rPr>
                <w:rFonts w:hint="eastAsia" w:ascii="宋体" w:hAnsi="宋体"/>
                <w:color w:val="auto"/>
              </w:rPr>
              <w:t>按合同约定执行。</w:t>
            </w:r>
          </w:p>
        </w:tc>
      </w:tr>
      <w:tr w14:paraId="7C310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560" w:type="dxa"/>
            <w:noWrap/>
            <w:vAlign w:val="center"/>
          </w:tcPr>
          <w:p w14:paraId="6BADC581">
            <w:pPr>
              <w:adjustRightInd w:val="0"/>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rPr>
              <w:t>第3</w:t>
            </w:r>
            <w:r>
              <w:rPr>
                <w:rFonts w:hint="eastAsia" w:ascii="宋体" w:hAnsi="宋体"/>
                <w:color w:val="auto"/>
                <w:szCs w:val="21"/>
                <w:lang w:val="en-US" w:eastAsia="zh-CN"/>
              </w:rPr>
              <w:t>2</w:t>
            </w:r>
            <w:r>
              <w:rPr>
                <w:rFonts w:hint="eastAsia" w:ascii="宋体" w:hAnsi="宋体"/>
                <w:color w:val="auto"/>
                <w:szCs w:val="21"/>
              </w:rPr>
              <w:t>.1</w:t>
            </w:r>
            <w:r>
              <w:rPr>
                <w:rFonts w:hint="eastAsia" w:ascii="宋体" w:hAnsi="宋体" w:cs="宋体"/>
                <w:color w:val="auto"/>
                <w:kern w:val="0"/>
                <w:szCs w:val="21"/>
                <w:lang w:val="en-US" w:eastAsia="zh-CN"/>
              </w:rPr>
              <w:t>款</w:t>
            </w:r>
          </w:p>
        </w:tc>
        <w:tc>
          <w:tcPr>
            <w:tcW w:w="2863" w:type="dxa"/>
            <w:noWrap/>
            <w:vAlign w:val="center"/>
          </w:tcPr>
          <w:p w14:paraId="70F8D50C">
            <w:pPr>
              <w:adjustRightInd w:val="0"/>
              <w:snapToGrid w:val="0"/>
              <w:spacing w:line="360" w:lineRule="auto"/>
              <w:jc w:val="center"/>
              <w:rPr>
                <w:rFonts w:ascii="宋体" w:hAnsi="宋体"/>
                <w:color w:val="auto"/>
                <w:szCs w:val="21"/>
              </w:rPr>
            </w:pPr>
            <w:r>
              <w:rPr>
                <w:rFonts w:hint="eastAsia" w:ascii="宋体" w:hAnsi="宋体"/>
                <w:color w:val="auto"/>
                <w:szCs w:val="21"/>
              </w:rPr>
              <w:t>质量保证金</w:t>
            </w:r>
          </w:p>
        </w:tc>
        <w:tc>
          <w:tcPr>
            <w:tcW w:w="4508" w:type="dxa"/>
            <w:noWrap/>
            <w:vAlign w:val="center"/>
          </w:tcPr>
          <w:p w14:paraId="2BB64B2A">
            <w:pPr>
              <w:adjustRightInd w:val="0"/>
              <w:snapToGrid w:val="0"/>
              <w:spacing w:line="360" w:lineRule="auto"/>
              <w:rPr>
                <w:rFonts w:ascii="宋体" w:hAnsi="宋体"/>
                <w:color w:val="auto"/>
              </w:rPr>
            </w:pPr>
            <w:r>
              <w:rPr>
                <w:rFonts w:hint="eastAsia" w:ascii="宋体" w:hAnsi="宋体"/>
                <w:color w:val="auto"/>
              </w:rPr>
              <w:t>（根据项目类型设置）</w:t>
            </w:r>
          </w:p>
        </w:tc>
      </w:tr>
      <w:tr w14:paraId="4CEE76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ign w:val="center"/>
          </w:tcPr>
          <w:p w14:paraId="165DCF81">
            <w:pPr>
              <w:adjustRightInd w:val="0"/>
              <w:snapToGrid w:val="0"/>
              <w:spacing w:line="360" w:lineRule="auto"/>
              <w:jc w:val="center"/>
              <w:rPr>
                <w:rFonts w:ascii="宋体" w:hAnsi="宋体"/>
                <w:color w:val="auto"/>
                <w:szCs w:val="21"/>
              </w:rPr>
            </w:pPr>
            <w:r>
              <w:rPr>
                <w:rFonts w:hint="eastAsia" w:ascii="宋体" w:hAnsi="宋体"/>
                <w:color w:val="auto"/>
                <w:szCs w:val="21"/>
              </w:rPr>
              <w:t>第3</w:t>
            </w:r>
            <w:r>
              <w:rPr>
                <w:rFonts w:hint="eastAsia" w:ascii="宋体" w:hAnsi="宋体"/>
                <w:color w:val="auto"/>
                <w:szCs w:val="21"/>
                <w:lang w:val="en-US" w:eastAsia="zh-CN"/>
              </w:rPr>
              <w:t>2</w:t>
            </w:r>
            <w:r>
              <w:rPr>
                <w:rFonts w:hint="eastAsia" w:ascii="宋体" w:hAnsi="宋体"/>
                <w:color w:val="auto"/>
                <w:szCs w:val="21"/>
              </w:rPr>
              <w:t>.2</w:t>
            </w:r>
            <w:r>
              <w:rPr>
                <w:rFonts w:hint="eastAsia" w:ascii="宋体" w:hAnsi="宋体" w:cs="宋体"/>
                <w:color w:val="auto"/>
                <w:kern w:val="0"/>
                <w:szCs w:val="21"/>
                <w:lang w:val="zh-CN"/>
              </w:rPr>
              <w:t>款</w:t>
            </w:r>
          </w:p>
        </w:tc>
        <w:tc>
          <w:tcPr>
            <w:tcW w:w="2863" w:type="dxa"/>
            <w:noWrap/>
            <w:vAlign w:val="center"/>
          </w:tcPr>
          <w:p w14:paraId="60626854">
            <w:pPr>
              <w:adjustRightInd w:val="0"/>
              <w:snapToGrid w:val="0"/>
              <w:spacing w:line="360" w:lineRule="auto"/>
              <w:jc w:val="left"/>
              <w:rPr>
                <w:rFonts w:ascii="宋体" w:hAnsi="宋体"/>
                <w:color w:val="auto"/>
                <w:szCs w:val="21"/>
              </w:rPr>
            </w:pPr>
            <w:r>
              <w:rPr>
                <w:rFonts w:hint="eastAsia" w:ascii="宋体" w:hAnsi="宋体"/>
                <w:color w:val="auto"/>
                <w:szCs w:val="21"/>
              </w:rPr>
              <w:t>其他规定</w:t>
            </w:r>
          </w:p>
        </w:tc>
        <w:tc>
          <w:tcPr>
            <w:tcW w:w="4508" w:type="dxa"/>
            <w:noWrap/>
            <w:vAlign w:val="center"/>
          </w:tcPr>
          <w:p w14:paraId="2FFCAC0C">
            <w:pPr>
              <w:adjustRightInd w:val="0"/>
              <w:snapToGrid w:val="0"/>
              <w:spacing w:line="360" w:lineRule="auto"/>
              <w:rPr>
                <w:rFonts w:ascii="宋体" w:hAnsi="宋体"/>
                <w:color w:val="auto"/>
                <w:szCs w:val="21"/>
              </w:rPr>
            </w:pPr>
            <w:r>
              <w:rPr>
                <w:rFonts w:hint="eastAsia" w:ascii="宋体" w:hAnsi="宋体"/>
                <w:color w:val="auto"/>
                <w:szCs w:val="21"/>
              </w:rPr>
              <w:t>1、信用信息查询的查询渠道：“信用中国”网站（www.creditchina.gov.cn）、中国政府采购网（www.ccgp.gov.cn）。</w:t>
            </w:r>
          </w:p>
          <w:p w14:paraId="71C7A471">
            <w:pPr>
              <w:adjustRightInd w:val="0"/>
              <w:snapToGrid w:val="0"/>
              <w:spacing w:line="360" w:lineRule="auto"/>
              <w:rPr>
                <w:rFonts w:ascii="宋体" w:hAnsi="宋体"/>
                <w:color w:val="auto"/>
                <w:szCs w:val="21"/>
              </w:rPr>
            </w:pPr>
            <w:r>
              <w:rPr>
                <w:rFonts w:hint="eastAsia" w:ascii="宋体" w:hAnsi="宋体"/>
                <w:color w:val="auto"/>
                <w:szCs w:val="21"/>
              </w:rPr>
              <w:t>2、信用信息查询的时间要求：投标邀请公告发布后至本项目投标截止期间的任意时间点。</w:t>
            </w:r>
          </w:p>
          <w:p w14:paraId="0F1F6C98">
            <w:pPr>
              <w:adjustRightInd w:val="0"/>
              <w:snapToGrid w:val="0"/>
              <w:spacing w:line="360" w:lineRule="auto"/>
              <w:rPr>
                <w:rFonts w:ascii="宋体" w:hAnsi="宋体"/>
                <w:color w:val="auto"/>
                <w:szCs w:val="21"/>
              </w:rPr>
            </w:pPr>
            <w:r>
              <w:rPr>
                <w:rFonts w:hint="eastAsia" w:ascii="宋体" w:hAnsi="宋体"/>
                <w:color w:val="auto"/>
                <w:szCs w:val="21"/>
              </w:rPr>
              <w:t>3、信用信息查询记录证据留存的具体方式：查询记录的网页打印件盖单位公章。</w:t>
            </w:r>
          </w:p>
          <w:p w14:paraId="3EA6C261">
            <w:pPr>
              <w:adjustRightInd w:val="0"/>
              <w:snapToGrid w:val="0"/>
              <w:spacing w:line="360" w:lineRule="auto"/>
              <w:rPr>
                <w:rFonts w:ascii="宋体" w:hAnsi="宋体"/>
                <w:color w:val="auto"/>
                <w:szCs w:val="21"/>
              </w:rPr>
            </w:pPr>
            <w:r>
              <w:rPr>
                <w:rFonts w:hint="eastAsia" w:ascii="宋体" w:hAnsi="宋体"/>
                <w:color w:val="auto"/>
                <w:szCs w:val="21"/>
              </w:rPr>
              <w:t>4、信用信息的使用规则：对列入失信被执行人、重大税收违法案件当事人名单、政府采购严重违法失信行为记录名单及其他不符合《中华人民共和国政府采购法》第二十二条规定条件的供应商，将拒绝其参与询价比选活动。”</w:t>
            </w:r>
          </w:p>
          <w:p w14:paraId="0FFD2509">
            <w:pPr>
              <w:pStyle w:val="5"/>
              <w:ind w:left="0" w:leftChars="0" w:firstLine="0" w:firstLineChars="0"/>
              <w:rPr>
                <w:rFonts w:hint="eastAsia" w:ascii="宋体" w:hAnsi="宋体"/>
                <w:color w:val="auto"/>
                <w:szCs w:val="21"/>
                <w:lang w:val="en-US" w:eastAsia="zh-CN"/>
              </w:rPr>
            </w:pPr>
            <w:r>
              <w:rPr>
                <w:rFonts w:hint="eastAsia" w:ascii="宋体" w:hAnsi="宋体"/>
                <w:color w:val="auto"/>
                <w:szCs w:val="21"/>
              </w:rPr>
              <w:t>5、</w:t>
            </w:r>
            <w:bookmarkStart w:id="16" w:name="_Toc21474"/>
            <w:bookmarkStart w:id="17" w:name="_Toc22918"/>
            <w:bookmarkStart w:id="18" w:name="_Toc18194"/>
            <w:r>
              <w:rPr>
                <w:rFonts w:hint="eastAsia" w:ascii="宋体" w:hAnsi="宋体"/>
                <w:color w:val="auto"/>
                <w:szCs w:val="21"/>
                <w:lang w:val="en-US" w:eastAsia="zh-CN"/>
              </w:rPr>
              <w:t>本项目不需提交投标保证金。</w:t>
            </w:r>
          </w:p>
          <w:p w14:paraId="58B46CD8">
            <w:pPr>
              <w:pStyle w:val="7"/>
              <w:rPr>
                <w:rFonts w:hint="eastAsia" w:eastAsia="宋体"/>
                <w:color w:val="auto"/>
                <w:lang w:val="en-US" w:eastAsia="zh-CN"/>
              </w:rPr>
            </w:pPr>
            <w:r>
              <w:rPr>
                <w:rFonts w:hint="eastAsia" w:ascii="宋体" w:hAnsi="宋体"/>
                <w:color w:val="auto"/>
                <w:szCs w:val="21"/>
                <w:lang w:val="en-US" w:eastAsia="zh-CN"/>
              </w:rPr>
              <w:t>6、本项目无需</w:t>
            </w:r>
            <w:r>
              <w:rPr>
                <w:rFonts w:hint="eastAsia" w:ascii="宋体" w:hAnsi="宋体"/>
                <w:color w:val="auto"/>
                <w:szCs w:val="21"/>
              </w:rPr>
              <w:t>履约担保</w:t>
            </w:r>
            <w:r>
              <w:rPr>
                <w:rFonts w:hint="eastAsia" w:ascii="宋体" w:hAnsi="宋体"/>
                <w:color w:val="auto"/>
                <w:szCs w:val="21"/>
                <w:lang w:eastAsia="zh-CN"/>
              </w:rPr>
              <w:t>。</w:t>
            </w:r>
          </w:p>
          <w:p w14:paraId="0295FC74">
            <w:pPr>
              <w:pStyle w:val="5"/>
              <w:ind w:left="0" w:leftChars="0" w:firstLine="0" w:firstLineChars="0"/>
              <w:rPr>
                <w:rFonts w:hint="eastAsia"/>
                <w:color w:val="auto"/>
              </w:rPr>
            </w:pPr>
            <w:r>
              <w:rPr>
                <w:rFonts w:hint="eastAsia"/>
                <w:color w:val="auto"/>
                <w:lang w:val="en-US" w:eastAsia="zh-CN"/>
              </w:rPr>
              <w:t>7、</w:t>
            </w:r>
            <w:r>
              <w:rPr>
                <w:rFonts w:hint="eastAsia"/>
                <w:color w:val="auto"/>
              </w:rPr>
              <w:t>本项目为企业自主组织招标比选采购，相关流程与招标文件参照或借鉴政府采购公开招标相关模版编制，有关规定及投标文件的编制以本招标文件规定为准。</w:t>
            </w:r>
            <w:bookmarkEnd w:id="16"/>
            <w:bookmarkEnd w:id="17"/>
            <w:bookmarkEnd w:id="18"/>
          </w:p>
          <w:p w14:paraId="612822FE">
            <w:pPr>
              <w:pStyle w:val="7"/>
              <w:rPr>
                <w:rFonts w:hint="default" w:eastAsia="宋体"/>
                <w:color w:val="auto"/>
                <w:lang w:val="en-US" w:eastAsia="zh-CN"/>
              </w:rPr>
            </w:pPr>
          </w:p>
        </w:tc>
      </w:tr>
    </w:tbl>
    <w:p w14:paraId="7329E218">
      <w:pPr>
        <w:adjustRightInd w:val="0"/>
        <w:snapToGrid w:val="0"/>
        <w:spacing w:line="360" w:lineRule="auto"/>
        <w:rPr>
          <w:rFonts w:ascii="宋体" w:hAnsi="宋体"/>
          <w:b/>
          <w:color w:val="auto"/>
          <w:sz w:val="10"/>
          <w:szCs w:val="10"/>
        </w:rPr>
      </w:pPr>
      <w:r>
        <w:rPr>
          <w:rFonts w:ascii="宋体" w:hAnsi="宋体"/>
          <w:b/>
          <w:color w:val="auto"/>
          <w:szCs w:val="21"/>
        </w:rPr>
        <w:br w:type="page"/>
      </w:r>
    </w:p>
    <w:p w14:paraId="2A7B2B98">
      <w:pPr>
        <w:pStyle w:val="13"/>
        <w:adjustRightInd w:val="0"/>
        <w:snapToGrid w:val="0"/>
        <w:spacing w:beforeLines="50"/>
        <w:jc w:val="center"/>
        <w:rPr>
          <w:rFonts w:ascii="黑体" w:hAnsi="黑体" w:eastAsia="黑体"/>
          <w:color w:val="auto"/>
          <w:sz w:val="28"/>
          <w:szCs w:val="28"/>
        </w:rPr>
      </w:pPr>
      <w:bookmarkStart w:id="19" w:name="_Toc19510"/>
      <w:bookmarkStart w:id="20" w:name="_Toc17427"/>
      <w:r>
        <w:rPr>
          <w:rFonts w:hint="eastAsia" w:ascii="黑体" w:hAnsi="黑体" w:eastAsia="黑体"/>
          <w:color w:val="auto"/>
          <w:sz w:val="28"/>
          <w:szCs w:val="28"/>
        </w:rPr>
        <w:t>第二节 投标须知</w:t>
      </w:r>
      <w:bookmarkEnd w:id="19"/>
      <w:bookmarkEnd w:id="20"/>
    </w:p>
    <w:p w14:paraId="338AF3EB">
      <w:pPr>
        <w:pStyle w:val="14"/>
        <w:adjustRightInd w:val="0"/>
        <w:snapToGrid w:val="0"/>
        <w:spacing w:beforeLines="50" w:after="0" w:line="360" w:lineRule="auto"/>
        <w:jc w:val="center"/>
        <w:rPr>
          <w:rFonts w:ascii="黑体" w:hAnsi="黑体" w:eastAsia="黑体"/>
          <w:b w:val="0"/>
          <w:color w:val="auto"/>
          <w:sz w:val="28"/>
          <w:szCs w:val="28"/>
        </w:rPr>
      </w:pPr>
      <w:bookmarkStart w:id="21" w:name="_Toc29574"/>
      <w:r>
        <w:rPr>
          <w:rFonts w:hint="eastAsia" w:ascii="黑体" w:hAnsi="黑体" w:eastAsia="黑体"/>
          <w:color w:val="auto"/>
          <w:sz w:val="28"/>
          <w:szCs w:val="28"/>
        </w:rPr>
        <w:t>一、总则</w:t>
      </w:r>
      <w:bookmarkEnd w:id="21"/>
    </w:p>
    <w:p w14:paraId="7A8A1D78">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1. 适用范围</w:t>
      </w:r>
    </w:p>
    <w:p w14:paraId="2593E33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1.1本招标文件仅适用于本章第一节</w:t>
      </w:r>
      <w:r>
        <w:rPr>
          <w:rFonts w:hint="eastAsia" w:ascii="宋体" w:hAnsi="宋体"/>
          <w:b/>
          <w:bCs/>
          <w:color w:val="auto"/>
          <w:szCs w:val="21"/>
        </w:rPr>
        <w:t>【投标须知前附表】</w:t>
      </w:r>
      <w:r>
        <w:rPr>
          <w:rFonts w:hint="eastAsia" w:ascii="宋体" w:hAnsi="宋体"/>
          <w:color w:val="auto"/>
          <w:szCs w:val="21"/>
        </w:rPr>
        <w:t>中所叙述的采购项目。</w:t>
      </w:r>
    </w:p>
    <w:p w14:paraId="2CE305BF">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2. 定义</w:t>
      </w:r>
    </w:p>
    <w:p w14:paraId="3E75A7A2">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2.1采购项目联系人姓名和电话见</w:t>
      </w:r>
      <w:r>
        <w:rPr>
          <w:rFonts w:hint="eastAsia" w:ascii="宋体" w:hAnsi="宋体"/>
          <w:b/>
          <w:color w:val="auto"/>
          <w:szCs w:val="21"/>
        </w:rPr>
        <w:t>【投标须知前附表】</w:t>
      </w:r>
      <w:r>
        <w:rPr>
          <w:rFonts w:hint="eastAsia" w:ascii="宋体" w:hAnsi="宋体"/>
          <w:color w:val="auto"/>
          <w:szCs w:val="21"/>
        </w:rPr>
        <w:t>。</w:t>
      </w:r>
    </w:p>
    <w:p w14:paraId="26CA5E4C">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2.2采购人名称、地址、电话、联系人见</w:t>
      </w:r>
      <w:r>
        <w:rPr>
          <w:rFonts w:hint="eastAsia" w:ascii="宋体" w:hAnsi="宋体"/>
          <w:b/>
          <w:color w:val="auto"/>
          <w:szCs w:val="21"/>
        </w:rPr>
        <w:t>【投标须知前附表】</w:t>
      </w:r>
      <w:r>
        <w:rPr>
          <w:rFonts w:hint="eastAsia" w:ascii="宋体" w:hAnsi="宋体"/>
          <w:color w:val="auto"/>
          <w:szCs w:val="21"/>
        </w:rPr>
        <w:t>。</w:t>
      </w:r>
    </w:p>
    <w:p w14:paraId="2D31E0DB">
      <w:pPr>
        <w:adjustRightInd w:val="0"/>
        <w:snapToGrid w:val="0"/>
        <w:spacing w:beforeLines="50" w:line="360" w:lineRule="auto"/>
        <w:ind w:firstLine="420" w:firstLineChars="200"/>
        <w:jc w:val="left"/>
        <w:rPr>
          <w:rFonts w:ascii="宋体" w:hAnsi="宋体"/>
          <w:b/>
          <w:color w:val="auto"/>
          <w:szCs w:val="21"/>
        </w:rPr>
      </w:pPr>
      <w:r>
        <w:rPr>
          <w:rFonts w:hint="eastAsia" w:ascii="宋体" w:hAnsi="宋体"/>
          <w:color w:val="auto"/>
          <w:szCs w:val="21"/>
        </w:rPr>
        <w:t>2.3投标人系指响应招标、参加投标竞争的法人、其他组织或自然人。</w:t>
      </w:r>
    </w:p>
    <w:p w14:paraId="1401A0E5">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3. 投标人的资格要求</w:t>
      </w:r>
    </w:p>
    <w:p w14:paraId="34F3131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3.1投标人应当符合</w:t>
      </w:r>
      <w:r>
        <w:rPr>
          <w:rFonts w:hint="eastAsia" w:ascii="宋体" w:hAnsi="宋体"/>
          <w:b/>
          <w:color w:val="auto"/>
          <w:szCs w:val="21"/>
        </w:rPr>
        <w:t>【投标须知前附表】</w:t>
      </w:r>
      <w:r>
        <w:rPr>
          <w:rFonts w:hint="eastAsia" w:ascii="宋体" w:hAnsi="宋体"/>
          <w:color w:val="auto"/>
          <w:szCs w:val="21"/>
        </w:rPr>
        <w:t>规定的投标人资格条件。</w:t>
      </w:r>
    </w:p>
    <w:p w14:paraId="05F0C634">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3.2</w:t>
      </w:r>
      <w:r>
        <w:rPr>
          <w:rFonts w:hint="eastAsia" w:ascii="宋体" w:hAnsi="宋体"/>
          <w:b/>
          <w:color w:val="auto"/>
          <w:szCs w:val="21"/>
        </w:rPr>
        <w:t>【投标须知前附表】</w:t>
      </w:r>
      <w:r>
        <w:rPr>
          <w:rFonts w:hint="eastAsia" w:ascii="宋体" w:hAnsi="宋体"/>
          <w:color w:val="auto"/>
          <w:szCs w:val="21"/>
        </w:rPr>
        <w:t>规定接受联合体形式投标的，投标人除应符合本章第3.1</w:t>
      </w:r>
      <w:r>
        <w:rPr>
          <w:rFonts w:hint="eastAsia" w:ascii="宋体" w:hAnsi="宋体" w:cs="宋体"/>
          <w:color w:val="auto"/>
          <w:kern w:val="0"/>
          <w:szCs w:val="21"/>
          <w:lang w:val="zh-CN"/>
        </w:rPr>
        <w:t>款</w:t>
      </w:r>
      <w:r>
        <w:rPr>
          <w:rFonts w:hint="eastAsia" w:ascii="宋体" w:hAnsi="宋体"/>
          <w:color w:val="auto"/>
          <w:szCs w:val="21"/>
        </w:rPr>
        <w:t xml:space="preserve">规定的资格条件外，还应遵守以下规定： </w:t>
      </w:r>
    </w:p>
    <w:p w14:paraId="49132BE5">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（l）联合体中有同类资质的供应商按照联合体分工承担相同工作的，应当按照资质等级较低的供应商确定资质等级。</w:t>
      </w:r>
    </w:p>
    <w:p w14:paraId="4BD6EFF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（2）联合体各方应按招标文件提供的格式签订联合体协议书，明确联合体牵头人和各方的权利义务、合同工作量比例；</w:t>
      </w:r>
    </w:p>
    <w:p w14:paraId="4C60EFDD">
      <w:pPr>
        <w:adjustRightInd w:val="0"/>
        <w:snapToGrid w:val="0"/>
        <w:spacing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（3）联合体各方签订联合体协议书后，</w:t>
      </w:r>
      <w:r>
        <w:rPr>
          <w:rFonts w:hint="eastAsia" w:ascii="宋体" w:hAnsi="宋体" w:cs="宋体"/>
          <w:color w:val="auto"/>
          <w:kern w:val="0"/>
          <w:szCs w:val="21"/>
          <w:lang w:val="zh-CN"/>
        </w:rPr>
        <w:t>不得再单独参加或者与其他投标人组成新的联合体参加同一合同项下的采购活动。</w:t>
      </w:r>
    </w:p>
    <w:p w14:paraId="06BA85A4">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 xml:space="preserve">4. 投标费用 </w:t>
      </w:r>
    </w:p>
    <w:p w14:paraId="7391C537">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4.1投标人应自行承担所有参与投标的相关费用，不论投标的结果如何，采购人无义务和责任承担这些费用。</w:t>
      </w:r>
    </w:p>
    <w:p w14:paraId="51DE8A73">
      <w:pPr>
        <w:adjustRightInd w:val="0"/>
        <w:snapToGrid w:val="0"/>
        <w:spacing w:beforeLines="50" w:line="360" w:lineRule="auto"/>
        <w:jc w:val="left"/>
        <w:rPr>
          <w:rFonts w:ascii="宋体" w:hAnsi="宋体"/>
          <w:b/>
          <w:color w:val="auto"/>
          <w:sz w:val="24"/>
        </w:rPr>
      </w:pPr>
      <w:r>
        <w:rPr>
          <w:rFonts w:hint="eastAsia" w:ascii="宋体" w:hAnsi="宋体"/>
          <w:b/>
          <w:color w:val="auto"/>
          <w:sz w:val="24"/>
        </w:rPr>
        <w:t>5．组织现场考察或者召开答疑会</w:t>
      </w:r>
    </w:p>
    <w:p w14:paraId="53CAB23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rPr>
        <w:t>5.1采购人可以在</w:t>
      </w:r>
      <w:r>
        <w:rPr>
          <w:rFonts w:hint="eastAsia" w:ascii="宋体" w:hAnsi="宋体"/>
          <w:b/>
          <w:color w:val="auto"/>
          <w:szCs w:val="21"/>
        </w:rPr>
        <w:t>【投标须知前附表】</w:t>
      </w:r>
      <w:r>
        <w:rPr>
          <w:rFonts w:hint="eastAsia" w:ascii="宋体" w:hAnsi="宋体"/>
          <w:color w:val="auto"/>
          <w:szCs w:val="21"/>
        </w:rPr>
        <w:t>规定的招标文件提供期限截止后，组织已获取招标文件的潜在投标人现场考察或者召开开标前答疑会。</w:t>
      </w:r>
    </w:p>
    <w:p w14:paraId="267FEFA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5.2获取招标文件的潜在投标人应按</w:t>
      </w:r>
      <w:r>
        <w:rPr>
          <w:rFonts w:hint="eastAsia" w:ascii="宋体" w:hAnsi="宋体"/>
          <w:b/>
          <w:color w:val="auto"/>
          <w:szCs w:val="21"/>
        </w:rPr>
        <w:t>【投标须知前附表】</w:t>
      </w:r>
      <w:r>
        <w:rPr>
          <w:rFonts w:hint="eastAsia" w:ascii="宋体" w:hAnsi="宋体"/>
          <w:color w:val="auto"/>
          <w:szCs w:val="21"/>
        </w:rPr>
        <w:t>规定参加现场考察或者答疑会；如不参加，其风险由其自行承担。</w:t>
      </w:r>
    </w:p>
    <w:p w14:paraId="75204C48">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5.3潜在投标人现场考察或者参加答疑会的费用由自己承担，现场考察期间所发生的人身伤害及财产损失由自己负责。</w:t>
      </w:r>
    </w:p>
    <w:p w14:paraId="34AB0D65">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5.4采购人不对投标人据此而做出的推论、理解和结论负责。投标人一旦中标，不得以任何借口，提出额外补偿，或延长合同期限的要求。</w:t>
      </w:r>
    </w:p>
    <w:p w14:paraId="2EAF9663">
      <w:pPr>
        <w:pStyle w:val="14"/>
        <w:adjustRightInd w:val="0"/>
        <w:snapToGrid w:val="0"/>
        <w:spacing w:beforeLines="50" w:after="0" w:line="360" w:lineRule="auto"/>
        <w:jc w:val="center"/>
        <w:rPr>
          <w:rFonts w:ascii="黑体" w:hAnsi="黑体" w:eastAsia="黑体"/>
          <w:color w:val="auto"/>
          <w:sz w:val="28"/>
          <w:szCs w:val="28"/>
        </w:rPr>
      </w:pPr>
      <w:bookmarkStart w:id="22" w:name="_Toc9226"/>
      <w:r>
        <w:rPr>
          <w:rFonts w:hint="eastAsia" w:ascii="黑体" w:hAnsi="黑体" w:eastAsia="黑体"/>
          <w:color w:val="auto"/>
          <w:sz w:val="28"/>
          <w:szCs w:val="28"/>
        </w:rPr>
        <w:t>二、招标文件</w:t>
      </w:r>
      <w:bookmarkEnd w:id="22"/>
    </w:p>
    <w:p w14:paraId="03816ACB">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6. 招标文件的构成</w:t>
      </w:r>
    </w:p>
    <w:p w14:paraId="61EDDE54">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6.1 招标文件共七章，各章内容如下：</w:t>
      </w:r>
    </w:p>
    <w:p w14:paraId="513AB652">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第一章 投标邀请</w:t>
      </w:r>
    </w:p>
    <w:p w14:paraId="1DDEACF1">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第二章 投标须知</w:t>
      </w:r>
    </w:p>
    <w:p w14:paraId="0A54D4F7">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第三章 资格审查</w:t>
      </w:r>
    </w:p>
    <w:p w14:paraId="6438E017">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第四章 评标方法及标准</w:t>
      </w:r>
    </w:p>
    <w:p w14:paraId="0FD87F17">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第五章 采购需求</w:t>
      </w:r>
    </w:p>
    <w:p w14:paraId="692A20DF">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第六章 合同</w:t>
      </w:r>
    </w:p>
    <w:p w14:paraId="41A6C311">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第七章 投标文件的组成</w:t>
      </w:r>
    </w:p>
    <w:p w14:paraId="51432384">
      <w:pPr>
        <w:adjustRightInd w:val="0"/>
        <w:snapToGrid w:val="0"/>
        <w:spacing w:beforeLines="50" w:line="360" w:lineRule="auto"/>
        <w:ind w:firstLine="420" w:firstLineChars="200"/>
        <w:jc w:val="left"/>
        <w:rPr>
          <w:rFonts w:ascii="宋体" w:hAnsi="宋体" w:cs="宋体"/>
          <w:b/>
          <w:color w:val="auto"/>
          <w:szCs w:val="21"/>
        </w:rPr>
      </w:pPr>
      <w:r>
        <w:rPr>
          <w:rFonts w:hint="eastAsia" w:ascii="宋体" w:hAnsi="宋体"/>
          <w:color w:val="auto"/>
          <w:szCs w:val="21"/>
        </w:rPr>
        <w:t>6.2采购人在提交投标文件截止时间前</w:t>
      </w:r>
      <w:r>
        <w:rPr>
          <w:rFonts w:hint="eastAsia" w:ascii="宋体" w:hAnsi="宋体" w:cs="宋体"/>
          <w:color w:val="auto"/>
          <w:szCs w:val="21"/>
        </w:rPr>
        <w:t>对招标文件所作的澄清或者修改，构成招标文件的组成部分。</w:t>
      </w:r>
    </w:p>
    <w:p w14:paraId="1E8EE1DC">
      <w:pPr>
        <w:adjustRightInd w:val="0"/>
        <w:snapToGrid w:val="0"/>
        <w:spacing w:beforeLines="50" w:line="360" w:lineRule="auto"/>
        <w:jc w:val="left"/>
        <w:rPr>
          <w:rFonts w:ascii="宋体" w:hAnsi="宋体"/>
          <w:b/>
          <w:color w:val="auto"/>
          <w:sz w:val="24"/>
        </w:rPr>
      </w:pPr>
      <w:r>
        <w:rPr>
          <w:rFonts w:hint="eastAsia" w:ascii="宋体" w:hAnsi="宋体"/>
          <w:b/>
          <w:color w:val="auto"/>
          <w:sz w:val="24"/>
        </w:rPr>
        <w:t>7．偏离与实质性响应</w:t>
      </w:r>
    </w:p>
    <w:p w14:paraId="44BE67C4">
      <w:pPr>
        <w:adjustRightInd w:val="0"/>
        <w:snapToGrid w:val="0"/>
        <w:spacing w:beforeLines="50" w:line="360" w:lineRule="auto"/>
        <w:ind w:firstLine="420" w:firstLineChars="200"/>
        <w:rPr>
          <w:rFonts w:ascii="宋体" w:hAnsi="宋体"/>
          <w:color w:val="auto"/>
        </w:rPr>
      </w:pPr>
      <w:r>
        <w:rPr>
          <w:rFonts w:hint="eastAsia" w:ascii="宋体" w:hAnsi="宋体"/>
          <w:color w:val="auto"/>
        </w:rPr>
        <w:t>7.1投标人应当按照招标文件的要求编制投标文件。投标文件应当对招标文件提出的要求和条件作出明确响应。</w:t>
      </w:r>
    </w:p>
    <w:p w14:paraId="17C307D8">
      <w:pPr>
        <w:adjustRightInd w:val="0"/>
        <w:snapToGrid w:val="0"/>
        <w:spacing w:beforeLines="50" w:line="360" w:lineRule="auto"/>
        <w:ind w:firstLine="420" w:firstLineChars="200"/>
        <w:rPr>
          <w:rFonts w:ascii="宋体" w:hAnsi="宋体"/>
          <w:color w:val="auto"/>
        </w:rPr>
      </w:pPr>
      <w:r>
        <w:rPr>
          <w:rFonts w:hint="eastAsia" w:ascii="宋体" w:hAnsi="宋体"/>
          <w:color w:val="auto"/>
        </w:rPr>
        <w:t>7.2偏离是指投标文件不响应或者不满足招标文件提出的要求和条件，分为实质性偏离和非实质性偏离。</w:t>
      </w:r>
    </w:p>
    <w:p w14:paraId="79FDCE0A">
      <w:pPr>
        <w:adjustRightInd w:val="0"/>
        <w:snapToGrid w:val="0"/>
        <w:spacing w:beforeLines="50" w:line="360" w:lineRule="auto"/>
        <w:ind w:firstLine="420" w:firstLineChars="200"/>
        <w:rPr>
          <w:rFonts w:ascii="宋体" w:hAnsi="宋体"/>
          <w:color w:val="auto"/>
        </w:rPr>
      </w:pPr>
      <w:r>
        <w:rPr>
          <w:rFonts w:hint="eastAsia" w:ascii="宋体" w:hAnsi="宋体"/>
          <w:color w:val="auto"/>
        </w:rPr>
        <w:t>7.3除法律、法规和招标文件规定的其他投标无效情形外，招标文件中用“★”符号标明的条款为实质性要求和条件，对其中任何一条的偏离，为实质性偏离，</w:t>
      </w:r>
      <w:r>
        <w:rPr>
          <w:rFonts w:hint="eastAsia" w:ascii="宋体" w:hAnsi="宋体"/>
          <w:b/>
          <w:color w:val="auto"/>
        </w:rPr>
        <w:t>其投标无效</w:t>
      </w:r>
      <w:r>
        <w:rPr>
          <w:rFonts w:hint="eastAsia" w:ascii="宋体" w:hAnsi="宋体"/>
          <w:color w:val="auto"/>
        </w:rPr>
        <w:t>。</w:t>
      </w:r>
    </w:p>
    <w:p w14:paraId="250348DC">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7.4投标</w:t>
      </w:r>
      <w:r>
        <w:rPr>
          <w:rFonts w:hint="eastAsia" w:ascii="宋体" w:hAnsi="宋体"/>
          <w:color w:val="auto"/>
          <w:szCs w:val="21"/>
        </w:rPr>
        <w:t>文件偏离招标文件的非实质性要求和条件，为非实质性偏离。非实质性偏离的范围和幅度应当符合</w:t>
      </w:r>
      <w:r>
        <w:rPr>
          <w:rFonts w:hint="eastAsia" w:ascii="宋体" w:hAnsi="宋体"/>
          <w:b/>
          <w:color w:val="auto"/>
          <w:szCs w:val="21"/>
        </w:rPr>
        <w:t>【投标须知前附表】</w:t>
      </w:r>
      <w:r>
        <w:rPr>
          <w:rFonts w:hint="eastAsia" w:ascii="宋体" w:hAnsi="宋体"/>
          <w:color w:val="auto"/>
          <w:szCs w:val="21"/>
        </w:rPr>
        <w:t>的规定，</w:t>
      </w:r>
      <w:r>
        <w:rPr>
          <w:rFonts w:hint="eastAsia" w:ascii="宋体" w:hAnsi="宋体"/>
          <w:b/>
          <w:color w:val="auto"/>
          <w:szCs w:val="21"/>
        </w:rPr>
        <w:t>否</w:t>
      </w:r>
      <w:r>
        <w:rPr>
          <w:rFonts w:hint="eastAsia" w:ascii="宋体" w:hAnsi="宋体"/>
          <w:b/>
          <w:color w:val="auto"/>
        </w:rPr>
        <w:t>则投标无效</w:t>
      </w:r>
      <w:r>
        <w:rPr>
          <w:rFonts w:hint="eastAsia" w:ascii="宋体" w:hAnsi="宋体"/>
          <w:color w:val="auto"/>
        </w:rPr>
        <w:t>。</w:t>
      </w:r>
    </w:p>
    <w:p w14:paraId="6121707E">
      <w:pPr>
        <w:adjustRightInd w:val="0"/>
        <w:snapToGrid w:val="0"/>
        <w:spacing w:beforeLines="50" w:line="360" w:lineRule="auto"/>
        <w:jc w:val="left"/>
        <w:rPr>
          <w:rFonts w:ascii="宋体" w:hAnsi="宋体"/>
          <w:b/>
          <w:bCs/>
          <w:color w:val="auto"/>
          <w:sz w:val="24"/>
        </w:rPr>
      </w:pPr>
      <w:r>
        <w:rPr>
          <w:rFonts w:hint="eastAsia" w:ascii="宋体" w:hAnsi="宋体"/>
          <w:b/>
          <w:color w:val="auto"/>
          <w:sz w:val="24"/>
        </w:rPr>
        <w:t>8. 询问</w:t>
      </w:r>
    </w:p>
    <w:p w14:paraId="6E5475B9">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8.1潜在投标人应仔细阅读和检查招标文件的全部内容。如有疑问，可以向采购人提出询问。</w:t>
      </w:r>
    </w:p>
    <w:p w14:paraId="5E61FCF9">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9. 招标文件的澄清或者修改</w:t>
      </w:r>
    </w:p>
    <w:p w14:paraId="5122B44B">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9.1采购人对已发出的招标文件进行必要澄清或者修改的，将在</w:t>
      </w:r>
      <w:r>
        <w:rPr>
          <w:rFonts w:hint="eastAsia" w:ascii="宋体" w:hAnsi="宋体"/>
          <w:b/>
          <w:color w:val="auto"/>
          <w:szCs w:val="21"/>
        </w:rPr>
        <w:t>【投标须知前附表】</w:t>
      </w:r>
      <w:r>
        <w:rPr>
          <w:rFonts w:hint="eastAsia" w:ascii="宋体" w:hAnsi="宋体"/>
          <w:color w:val="auto"/>
          <w:szCs w:val="21"/>
        </w:rPr>
        <w:t>规定的</w:t>
      </w:r>
      <w:r>
        <w:rPr>
          <w:rFonts w:hint="eastAsia" w:ascii="宋体" w:hAnsi="宋体"/>
          <w:color w:val="auto"/>
        </w:rPr>
        <w:t>招标公告指定媒体上发布澄清或者修改公告。</w:t>
      </w:r>
    </w:p>
    <w:p w14:paraId="2A09A670">
      <w:pPr>
        <w:adjustRightInd w:val="0"/>
        <w:snapToGrid w:val="0"/>
        <w:spacing w:beforeLines="50" w:line="360" w:lineRule="auto"/>
        <w:ind w:firstLine="420" w:firstLineChars="200"/>
        <w:jc w:val="left"/>
        <w:rPr>
          <w:rFonts w:ascii="宋体" w:hAnsi="宋体"/>
          <w:color w:val="auto"/>
        </w:rPr>
      </w:pPr>
      <w:r>
        <w:rPr>
          <w:rFonts w:hint="eastAsia" w:ascii="宋体" w:hAnsi="宋体" w:cs="宋体"/>
          <w:color w:val="auto"/>
          <w:kern w:val="0"/>
          <w:szCs w:val="21"/>
        </w:rPr>
        <w:t>9.2澄清或者修改</w:t>
      </w:r>
      <w:r>
        <w:rPr>
          <w:rFonts w:hint="eastAsia" w:ascii="宋体" w:hAnsi="宋体"/>
          <w:color w:val="auto"/>
        </w:rPr>
        <w:t>的</w:t>
      </w:r>
      <w:r>
        <w:rPr>
          <w:rFonts w:hint="eastAsia" w:ascii="宋体" w:hAnsi="宋体" w:cs="宋体"/>
          <w:color w:val="auto"/>
          <w:kern w:val="0"/>
          <w:szCs w:val="21"/>
        </w:rPr>
        <w:t>内容可能影响投标文件编制的，采购人</w:t>
      </w:r>
      <w:r>
        <w:rPr>
          <w:rFonts w:hint="eastAsia" w:ascii="宋体" w:hAnsi="宋体"/>
          <w:color w:val="auto"/>
        </w:rPr>
        <w:t>将</w:t>
      </w:r>
      <w:r>
        <w:rPr>
          <w:rFonts w:hint="eastAsia" w:ascii="宋体" w:hAnsi="宋体" w:cs="宋体"/>
          <w:color w:val="auto"/>
          <w:kern w:val="0"/>
          <w:szCs w:val="21"/>
        </w:rPr>
        <w:t>在提交投标文件截止时间2个日历天前，在</w:t>
      </w:r>
      <w:r>
        <w:rPr>
          <w:rFonts w:hint="eastAsia" w:ascii="宋体" w:hAnsi="宋体" w:cs="宋体"/>
          <w:color w:val="auto"/>
          <w:szCs w:val="21"/>
        </w:rPr>
        <w:t>娄底市万宝新区开发投资集团有限公司网站（http://www.wbtzjt.com/）及微信公众号上进行发布</w:t>
      </w:r>
      <w:r>
        <w:rPr>
          <w:rFonts w:hint="eastAsia" w:ascii="宋体" w:hAnsi="宋体"/>
          <w:color w:val="auto"/>
        </w:rPr>
        <w:t>；提交投标文件的截止时间从</w:t>
      </w:r>
      <w:r>
        <w:rPr>
          <w:rFonts w:hint="eastAsia" w:ascii="宋体" w:hAnsi="宋体" w:cs="宋体"/>
          <w:color w:val="auto"/>
          <w:kern w:val="0"/>
          <w:szCs w:val="21"/>
        </w:rPr>
        <w:t>澄清或者修改内容发布起算不少于2个日历天</w:t>
      </w:r>
      <w:r>
        <w:rPr>
          <w:rFonts w:hint="eastAsia" w:ascii="宋体" w:hAnsi="宋体"/>
          <w:color w:val="auto"/>
        </w:rPr>
        <w:t>。</w:t>
      </w:r>
    </w:p>
    <w:p w14:paraId="1E8DD02B">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9.3 潜在投标人及时关注</w:t>
      </w:r>
      <w:r>
        <w:rPr>
          <w:rFonts w:hint="eastAsia" w:ascii="宋体" w:hAnsi="宋体"/>
          <w:color w:val="auto"/>
          <w:szCs w:val="21"/>
        </w:rPr>
        <w:t>招标公告指定媒体</w:t>
      </w:r>
      <w:r>
        <w:rPr>
          <w:rFonts w:hint="eastAsia" w:ascii="宋体" w:hAnsi="宋体"/>
          <w:color w:val="auto"/>
        </w:rPr>
        <w:t>发布的澄清或者修改公告，采购人不再书面通知。</w:t>
      </w:r>
    </w:p>
    <w:p w14:paraId="1E99F2D0">
      <w:pPr>
        <w:pStyle w:val="14"/>
        <w:adjustRightInd w:val="0"/>
        <w:snapToGrid w:val="0"/>
        <w:spacing w:beforeLines="50" w:after="0" w:line="360" w:lineRule="auto"/>
        <w:jc w:val="center"/>
        <w:rPr>
          <w:rFonts w:ascii="黑体" w:hAnsi="黑体" w:eastAsia="黑体"/>
          <w:color w:val="auto"/>
          <w:sz w:val="28"/>
          <w:szCs w:val="28"/>
        </w:rPr>
      </w:pPr>
      <w:bookmarkStart w:id="23" w:name="_Toc1234"/>
      <w:r>
        <w:rPr>
          <w:rFonts w:hint="eastAsia" w:ascii="黑体" w:hAnsi="黑体" w:eastAsia="黑体"/>
          <w:color w:val="auto"/>
          <w:sz w:val="28"/>
          <w:szCs w:val="28"/>
        </w:rPr>
        <w:t>三、投标文件</w:t>
      </w:r>
      <w:bookmarkEnd w:id="23"/>
    </w:p>
    <w:p w14:paraId="44514665">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10. 投标语言</w:t>
      </w:r>
    </w:p>
    <w:p w14:paraId="730D11BF">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10.1除专用术语外，投标人提交的投标文件及投标人与采购人就有关投标的所有来往函电均使用中文。投标人可以提交其它语言的资料，但应附有中文注释，有差异时以中文为准。</w:t>
      </w:r>
    </w:p>
    <w:p w14:paraId="52DE0B97">
      <w:pPr>
        <w:adjustRightInd w:val="0"/>
        <w:snapToGrid w:val="0"/>
        <w:spacing w:beforeLines="50" w:line="360" w:lineRule="auto"/>
        <w:jc w:val="left"/>
        <w:rPr>
          <w:rFonts w:ascii="宋体" w:hAnsi="宋体"/>
          <w:b/>
          <w:color w:val="auto"/>
          <w:sz w:val="24"/>
        </w:rPr>
      </w:pPr>
      <w:r>
        <w:rPr>
          <w:rFonts w:hint="eastAsia" w:ascii="宋体" w:hAnsi="宋体"/>
          <w:b/>
          <w:bCs/>
          <w:color w:val="auto"/>
          <w:sz w:val="24"/>
        </w:rPr>
        <w:t xml:space="preserve">11. </w:t>
      </w:r>
      <w:r>
        <w:rPr>
          <w:rFonts w:hint="eastAsia" w:ascii="宋体" w:hAnsi="宋体"/>
          <w:b/>
          <w:color w:val="auto"/>
          <w:sz w:val="24"/>
        </w:rPr>
        <w:t>计量单位</w:t>
      </w:r>
    </w:p>
    <w:p w14:paraId="68AC389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11.1所有计量均采用中华人民共和国法定计量单位。</w:t>
      </w:r>
    </w:p>
    <w:p w14:paraId="08E74307">
      <w:pPr>
        <w:adjustRightInd w:val="0"/>
        <w:snapToGrid w:val="0"/>
        <w:spacing w:beforeLines="50" w:line="360" w:lineRule="auto"/>
        <w:jc w:val="left"/>
        <w:rPr>
          <w:rFonts w:ascii="宋体" w:hAnsi="宋体"/>
          <w:b/>
          <w:bCs/>
          <w:color w:val="auto"/>
          <w:sz w:val="24"/>
        </w:rPr>
      </w:pPr>
      <w:r>
        <w:rPr>
          <w:rFonts w:hint="eastAsia" w:ascii="宋体" w:hAnsi="宋体"/>
          <w:b/>
          <w:color w:val="auto"/>
          <w:sz w:val="24"/>
        </w:rPr>
        <w:t xml:space="preserve">12. </w:t>
      </w:r>
      <w:r>
        <w:rPr>
          <w:rFonts w:hint="eastAsia" w:ascii="宋体" w:hAnsi="宋体"/>
          <w:b/>
          <w:bCs/>
          <w:color w:val="auto"/>
          <w:sz w:val="24"/>
        </w:rPr>
        <w:t>投标文件的组成</w:t>
      </w:r>
    </w:p>
    <w:p w14:paraId="2F6D176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12.1投标文件由如下内容组成：</w:t>
      </w:r>
    </w:p>
    <w:p w14:paraId="4166A5AF">
      <w:pPr>
        <w:adjustRightInd w:val="0"/>
        <w:snapToGrid w:val="0"/>
        <w:spacing w:beforeLines="50" w:line="360" w:lineRule="auto"/>
        <w:ind w:firstLine="420" w:firstLineChars="200"/>
        <w:rPr>
          <w:rFonts w:ascii="宋体" w:hAnsi="宋体"/>
          <w:b/>
          <w:color w:val="auto"/>
          <w:szCs w:val="21"/>
        </w:rPr>
      </w:pPr>
      <w:r>
        <w:rPr>
          <w:rFonts w:hint="eastAsia" w:ascii="宋体" w:hAnsi="宋体"/>
          <w:b/>
          <w:color w:val="auto"/>
          <w:szCs w:val="21"/>
        </w:rPr>
        <w:t>第一部分 资格证明文件</w:t>
      </w:r>
    </w:p>
    <w:p w14:paraId="1223B061">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一、开标一览表</w:t>
      </w:r>
    </w:p>
    <w:p w14:paraId="0E72ABE9">
      <w:pPr>
        <w:adjustRightInd w:val="0"/>
        <w:snapToGrid w:val="0"/>
        <w:spacing w:beforeLines="50" w:line="360" w:lineRule="auto"/>
        <w:ind w:firstLine="630" w:firstLineChars="300"/>
        <w:rPr>
          <w:rFonts w:ascii="宋体" w:hAnsi="宋体" w:eastAsiaTheme="minorEastAsia"/>
          <w:color w:val="auto"/>
          <w:szCs w:val="21"/>
        </w:rPr>
      </w:pPr>
      <w:r>
        <w:rPr>
          <w:rFonts w:hint="eastAsia" w:ascii="宋体" w:hAnsi="宋体"/>
          <w:color w:val="auto"/>
          <w:szCs w:val="21"/>
        </w:rPr>
        <w:t>二、</w:t>
      </w:r>
      <w:r>
        <w:rPr>
          <w:rFonts w:hint="eastAsia" w:asciiTheme="minorEastAsia" w:hAnsiTheme="minorEastAsia" w:eastAsiaTheme="minorEastAsia"/>
          <w:color w:val="auto"/>
          <w:szCs w:val="21"/>
        </w:rPr>
        <w:t>法定代表人（单位负责人）身份证明或授权委托书，</w:t>
      </w:r>
      <w:r>
        <w:rPr>
          <w:rFonts w:hint="eastAsia" w:ascii="宋体" w:hAnsi="宋体"/>
          <w:color w:val="auto"/>
        </w:rPr>
        <w:t>授权委托人需提供近3个月的社保缴纳证明。</w:t>
      </w:r>
    </w:p>
    <w:p w14:paraId="28C75A3A">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三、投标人提供的资格证明文件</w:t>
      </w:r>
    </w:p>
    <w:p w14:paraId="73C7C0FA">
      <w:pPr>
        <w:adjustRightInd w:val="0"/>
        <w:snapToGrid w:val="0"/>
        <w:spacing w:beforeLines="50" w:line="360" w:lineRule="auto"/>
        <w:ind w:firstLine="420" w:firstLineChars="200"/>
        <w:rPr>
          <w:rFonts w:ascii="宋体" w:hAnsi="宋体"/>
          <w:b/>
          <w:color w:val="auto"/>
          <w:szCs w:val="21"/>
        </w:rPr>
      </w:pPr>
      <w:r>
        <w:rPr>
          <w:rFonts w:hint="eastAsia" w:ascii="宋体" w:hAnsi="宋体"/>
          <w:b/>
          <w:color w:val="auto"/>
          <w:szCs w:val="21"/>
        </w:rPr>
        <w:t>第二部分 商务技术文件</w:t>
      </w:r>
    </w:p>
    <w:p w14:paraId="6BE2FD5A">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四、投标函</w:t>
      </w:r>
    </w:p>
    <w:p w14:paraId="26606D47">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五、分项报价</w:t>
      </w:r>
    </w:p>
    <w:p w14:paraId="23C0BFFB">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六、采购需求响应</w:t>
      </w:r>
    </w:p>
    <w:p w14:paraId="4ADB5A81">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七、采购需求偏离表</w:t>
      </w:r>
    </w:p>
    <w:p w14:paraId="731475F7">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八、招标文件规定的证明文件</w:t>
      </w:r>
    </w:p>
    <w:p w14:paraId="746EAC37">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九、投标人认为需提供的其他资料</w:t>
      </w:r>
    </w:p>
    <w:p w14:paraId="3FF8F53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12.2投标人可以编制资格审查索引表、符合性审查索引表、评审索引表，以方便采购人、评标委员会在资格审查及评审时查阅。</w:t>
      </w:r>
    </w:p>
    <w:p w14:paraId="05599CDE">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12.3根据《政府采购法》第四十二条的规定，投标人无论中标与否，其投标文件不予退还。</w:t>
      </w:r>
    </w:p>
    <w:p w14:paraId="01AD111D">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13. 投标报价</w:t>
      </w:r>
    </w:p>
    <w:p w14:paraId="230A17B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083A331F">
      <w:pPr>
        <w:adjustRightInd w:val="0"/>
        <w:snapToGrid w:val="0"/>
        <w:spacing w:beforeLines="50" w:line="360" w:lineRule="auto"/>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2投标人的投标报价不得超过采购项目预算，也不得超过最高限价(如果设定)，否则其</w:t>
      </w:r>
      <w:r>
        <w:rPr>
          <w:rFonts w:hint="eastAsia" w:ascii="宋体" w:hAnsi="宋体"/>
          <w:b/>
          <w:color w:val="auto"/>
          <w:szCs w:val="21"/>
        </w:rPr>
        <w:t>投标无效</w:t>
      </w:r>
      <w:r>
        <w:rPr>
          <w:rFonts w:hint="eastAsia" w:ascii="宋体" w:hAnsi="宋体"/>
          <w:color w:val="auto"/>
          <w:szCs w:val="21"/>
        </w:rPr>
        <w:t>。采购项目预算、最高限价见</w:t>
      </w:r>
      <w:r>
        <w:rPr>
          <w:rFonts w:hint="eastAsia" w:ascii="宋体" w:hAnsi="宋体"/>
          <w:b/>
          <w:color w:val="auto"/>
          <w:szCs w:val="21"/>
        </w:rPr>
        <w:t>【投标须知前附表】</w:t>
      </w:r>
      <w:r>
        <w:rPr>
          <w:rFonts w:hint="eastAsia" w:ascii="宋体" w:hAnsi="宋体"/>
          <w:color w:val="auto"/>
          <w:szCs w:val="21"/>
        </w:rPr>
        <w:t>。</w:t>
      </w:r>
    </w:p>
    <w:p w14:paraId="4AED6FCB">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szCs w:val="21"/>
        </w:rPr>
        <w:t>13.3 投标人应在分项报价明细表中对每项内容给予详细分项</w:t>
      </w:r>
      <w:r>
        <w:rPr>
          <w:rFonts w:hint="eastAsia" w:ascii="宋体" w:hAnsi="宋体"/>
          <w:color w:val="auto"/>
        </w:rPr>
        <w:t>报价。</w:t>
      </w:r>
    </w:p>
    <w:p w14:paraId="1F2C8BB2">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13.4投标人对采购项目内容只允许有一个投标报价，否则其</w:t>
      </w:r>
      <w:r>
        <w:rPr>
          <w:rFonts w:hint="eastAsia" w:ascii="宋体" w:hAnsi="宋体"/>
          <w:b/>
          <w:color w:val="auto"/>
        </w:rPr>
        <w:t>投标无效</w:t>
      </w:r>
      <w:r>
        <w:rPr>
          <w:rFonts w:hint="eastAsia" w:ascii="宋体" w:hAnsi="宋体"/>
          <w:color w:val="auto"/>
        </w:rPr>
        <w:t>。</w:t>
      </w:r>
    </w:p>
    <w:p w14:paraId="5AAAC323">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13.5采购人不接受投标人给予的赠品、回扣或者与采购无关的其他商品、服务。如有赠与行为，其</w:t>
      </w:r>
      <w:r>
        <w:rPr>
          <w:rFonts w:hint="eastAsia" w:ascii="宋体" w:hAnsi="宋体"/>
          <w:b/>
          <w:color w:val="auto"/>
        </w:rPr>
        <w:t>投标无效</w:t>
      </w:r>
      <w:r>
        <w:rPr>
          <w:rFonts w:hint="eastAsia" w:ascii="宋体" w:hAnsi="宋体"/>
          <w:color w:val="auto"/>
        </w:rPr>
        <w:t>。</w:t>
      </w:r>
    </w:p>
    <w:p w14:paraId="35F24732">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13.6采用固定价格定价方式的采购项目，</w:t>
      </w:r>
      <w:r>
        <w:rPr>
          <w:rFonts w:hint="eastAsia" w:ascii="宋体" w:hAnsi="宋体"/>
          <w:color w:val="auto"/>
        </w:rPr>
        <w:t>投标文件中标明的价格在合同执行过程中是固定不变的，不得以任何理由予以变更。任何包含价格调整要求和条件的投标，其</w:t>
      </w:r>
      <w:r>
        <w:rPr>
          <w:rFonts w:hint="eastAsia" w:ascii="宋体" w:hAnsi="宋体"/>
          <w:b/>
          <w:color w:val="auto"/>
        </w:rPr>
        <w:t>投标无效</w:t>
      </w:r>
      <w:r>
        <w:rPr>
          <w:rFonts w:hint="eastAsia" w:ascii="宋体" w:hAnsi="宋体"/>
          <w:color w:val="auto"/>
        </w:rPr>
        <w:t>。</w:t>
      </w:r>
    </w:p>
    <w:p w14:paraId="78F41619">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13.7投标人在投标截止时间前修改“开标一览表”中的投标报价的，应同时修改投标文件“分项报价明细表”以及“联合体协议书”（如果影响）等相关内容。此修改须符合本章第22.1款的有关要求。</w:t>
      </w:r>
    </w:p>
    <w:p w14:paraId="15C8ED47">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13.8投标报价的其他要求见</w:t>
      </w:r>
      <w:r>
        <w:rPr>
          <w:rFonts w:hint="eastAsia" w:ascii="宋体" w:hAnsi="宋体"/>
          <w:b/>
          <w:color w:val="auto"/>
          <w:szCs w:val="21"/>
        </w:rPr>
        <w:t>【投标须知前附表】</w:t>
      </w:r>
      <w:r>
        <w:rPr>
          <w:rFonts w:hint="eastAsia" w:ascii="宋体" w:hAnsi="宋体"/>
          <w:color w:val="auto"/>
        </w:rPr>
        <w:t xml:space="preserve">。 </w:t>
      </w:r>
    </w:p>
    <w:p w14:paraId="5A9D5FB1">
      <w:pPr>
        <w:adjustRightInd w:val="0"/>
        <w:snapToGrid w:val="0"/>
        <w:spacing w:beforeLines="50" w:line="360" w:lineRule="auto"/>
        <w:jc w:val="left"/>
        <w:rPr>
          <w:rFonts w:ascii="宋体" w:hAnsi="宋体"/>
          <w:b/>
          <w:bCs/>
          <w:color w:val="auto"/>
          <w:sz w:val="24"/>
        </w:rPr>
      </w:pPr>
      <w:r>
        <w:rPr>
          <w:rFonts w:hint="eastAsia" w:ascii="宋体" w:hAnsi="宋体"/>
          <w:b/>
          <w:color w:val="auto"/>
          <w:sz w:val="24"/>
        </w:rPr>
        <w:t xml:space="preserve">14. </w:t>
      </w:r>
      <w:r>
        <w:rPr>
          <w:rFonts w:hint="eastAsia" w:ascii="宋体" w:hAnsi="宋体"/>
          <w:b/>
          <w:bCs/>
          <w:color w:val="auto"/>
          <w:sz w:val="24"/>
        </w:rPr>
        <w:t>投标人的资格证明文件</w:t>
      </w:r>
    </w:p>
    <w:p w14:paraId="26CE2467">
      <w:pPr>
        <w:adjustRightInd w:val="0"/>
        <w:snapToGrid w:val="0"/>
        <w:spacing w:beforeLines="50" w:line="360" w:lineRule="auto"/>
        <w:ind w:firstLine="420" w:firstLineChars="200"/>
        <w:rPr>
          <w:rFonts w:ascii="宋体" w:hAnsi="宋体"/>
          <w:color w:val="auto"/>
        </w:rPr>
      </w:pPr>
      <w:r>
        <w:rPr>
          <w:rFonts w:hint="eastAsia" w:ascii="宋体" w:hAnsi="宋体"/>
          <w:color w:val="auto"/>
        </w:rPr>
        <w:t>14.1</w:t>
      </w:r>
      <w:r>
        <w:rPr>
          <w:rFonts w:hint="eastAsia" w:ascii="宋体" w:hAnsi="宋体"/>
          <w:color w:val="auto"/>
          <w:szCs w:val="21"/>
        </w:rPr>
        <w:t>除</w:t>
      </w:r>
      <w:r>
        <w:rPr>
          <w:rFonts w:hint="eastAsia" w:ascii="宋体" w:hAnsi="宋体"/>
          <w:b/>
          <w:color w:val="auto"/>
          <w:szCs w:val="21"/>
        </w:rPr>
        <w:t>【投标须知前附表】</w:t>
      </w:r>
      <w:r>
        <w:rPr>
          <w:rFonts w:hint="eastAsia" w:ascii="宋体" w:hAnsi="宋体"/>
          <w:color w:val="auto"/>
          <w:szCs w:val="21"/>
        </w:rPr>
        <w:t>另有规</w:t>
      </w:r>
      <w:r>
        <w:rPr>
          <w:rFonts w:hint="eastAsia" w:ascii="宋体" w:hAnsi="宋体"/>
          <w:color w:val="auto"/>
        </w:rPr>
        <w:t>定外，投标人应按下列规定提供资格证明文件。</w:t>
      </w:r>
    </w:p>
    <w:p w14:paraId="4ECE326B">
      <w:pPr>
        <w:adjustRightInd w:val="0"/>
        <w:snapToGrid w:val="0"/>
        <w:spacing w:beforeLines="50" w:line="360" w:lineRule="auto"/>
        <w:ind w:firstLine="420" w:firstLineChars="200"/>
        <w:rPr>
          <w:rFonts w:ascii="宋体" w:hAnsi="宋体"/>
          <w:color w:val="auto"/>
        </w:rPr>
      </w:pPr>
      <w:r>
        <w:rPr>
          <w:rFonts w:hint="eastAsia" w:ascii="宋体" w:hAnsi="宋体"/>
          <w:color w:val="auto"/>
        </w:rPr>
        <w:t>（1）</w:t>
      </w:r>
      <w:r>
        <w:rPr>
          <w:rFonts w:hint="eastAsia" w:ascii="宋体" w:hAnsi="宋体"/>
          <w:b/>
          <w:color w:val="auto"/>
        </w:rPr>
        <w:t>法人或者其他组织的营业执照等主体资格证明文件，自然人的身份证明</w:t>
      </w:r>
      <w:r>
        <w:rPr>
          <w:rFonts w:hint="eastAsia" w:ascii="宋体" w:hAnsi="宋体"/>
          <w:color w:val="auto"/>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4662D3A5">
      <w:pPr>
        <w:adjustRightInd w:val="0"/>
        <w:snapToGrid w:val="0"/>
        <w:spacing w:beforeLines="50" w:line="360" w:lineRule="auto"/>
        <w:ind w:firstLine="420" w:firstLineChars="200"/>
        <w:rPr>
          <w:rFonts w:ascii="宋体" w:hAnsi="宋体"/>
          <w:b/>
          <w:color w:val="auto"/>
        </w:rPr>
      </w:pPr>
      <w:r>
        <w:rPr>
          <w:rFonts w:hint="eastAsia" w:ascii="宋体" w:hAnsi="宋体"/>
          <w:b/>
          <w:color w:val="auto"/>
        </w:rPr>
        <w:t>（2）湖南省政府采购供应商资格承诺函(格式)</w:t>
      </w:r>
    </w:p>
    <w:p w14:paraId="0D0B70B3">
      <w:pPr>
        <w:adjustRightInd w:val="0"/>
        <w:snapToGrid w:val="0"/>
        <w:spacing w:beforeLines="50" w:line="360" w:lineRule="auto"/>
        <w:ind w:firstLine="420" w:firstLineChars="200"/>
        <w:rPr>
          <w:rFonts w:ascii="宋体" w:hAnsi="宋体"/>
          <w:b/>
          <w:color w:val="auto"/>
        </w:rPr>
      </w:pPr>
      <w:r>
        <w:rPr>
          <w:rFonts w:hint="eastAsia" w:ascii="宋体" w:hAnsi="宋体"/>
          <w:b/>
          <w:color w:val="auto"/>
        </w:rPr>
        <w:t>（3）符合特定资格条件证明材料或者情况说明。</w:t>
      </w:r>
    </w:p>
    <w:p w14:paraId="23642DF1">
      <w:pPr>
        <w:adjustRightInd w:val="0"/>
        <w:snapToGrid w:val="0"/>
        <w:spacing w:beforeLines="50" w:line="360" w:lineRule="auto"/>
        <w:ind w:firstLine="420" w:firstLineChars="200"/>
        <w:rPr>
          <w:rFonts w:ascii="宋体" w:hAnsi="宋体"/>
          <w:color w:val="auto"/>
        </w:rPr>
      </w:pPr>
      <w:r>
        <w:rPr>
          <w:rFonts w:hint="eastAsia" w:ascii="宋体" w:hAnsi="宋体"/>
          <w:color w:val="auto"/>
        </w:rPr>
        <w:t>14.2投标人以联合体形式投标的，除应提交联合协议(格式)外，参加联合体的各方均应提交上款资格证明材料。</w:t>
      </w:r>
    </w:p>
    <w:p w14:paraId="01DE77EF">
      <w:pPr>
        <w:adjustRightInd w:val="0"/>
        <w:snapToGrid w:val="0"/>
        <w:spacing w:beforeLines="50" w:line="360" w:lineRule="auto"/>
        <w:ind w:firstLine="420" w:firstLineChars="200"/>
        <w:rPr>
          <w:rFonts w:ascii="宋体" w:hAnsi="宋体"/>
          <w:color w:val="auto"/>
        </w:rPr>
      </w:pPr>
      <w:r>
        <w:rPr>
          <w:rFonts w:hint="eastAsia" w:ascii="宋体" w:hAnsi="宋体"/>
          <w:color w:val="auto"/>
        </w:rPr>
        <w:t>14.3投标人的资格证明文件均应为有效文件并加盖投标人单位章，并按招标文件规定签署。</w:t>
      </w:r>
    </w:p>
    <w:p w14:paraId="4AF3FEF2">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15. 投标货物及服务符合招标文件规定的证明文件</w:t>
      </w:r>
    </w:p>
    <w:p w14:paraId="7F477C0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15.1投标人应当提交其拟供的合同项下货物及服务符合招标文件规定的证明文件,该证明文件作为投标文件的一部分。</w:t>
      </w:r>
    </w:p>
    <w:p w14:paraId="306EFDC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15.2上述证明文件可以是文字资料、图表、数据、证书等资料，包括但不限于：</w:t>
      </w:r>
    </w:p>
    <w:p w14:paraId="532D84E1">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（1）货物主要技术指标和性能的详细说明。对有具体参数要求的指标，投标人应提供具体参数值；</w:t>
      </w:r>
    </w:p>
    <w:p w14:paraId="7169423E">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（2）货物的品牌型号、制造商及原产地等说明；</w:t>
      </w:r>
    </w:p>
    <w:p w14:paraId="3EA2574A">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（3）招标文件第五章“采购需求”要求的其它文件。</w:t>
      </w:r>
    </w:p>
    <w:p w14:paraId="5F506BDB">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16. 投标有效期</w:t>
      </w:r>
    </w:p>
    <w:p w14:paraId="0FB92B15">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16.1投标有效期从提交投标文件的截止之日起算。投标文件中承诺的投标有效期应当不少于</w:t>
      </w:r>
      <w:r>
        <w:rPr>
          <w:rFonts w:hint="eastAsia" w:ascii="宋体" w:hAnsi="宋体"/>
          <w:b/>
          <w:color w:val="auto"/>
          <w:szCs w:val="21"/>
        </w:rPr>
        <w:t>【投标须知前附表】</w:t>
      </w:r>
      <w:r>
        <w:rPr>
          <w:rFonts w:hint="eastAsia" w:ascii="宋体" w:hAnsi="宋体"/>
          <w:color w:val="auto"/>
          <w:szCs w:val="21"/>
        </w:rPr>
        <w:t>中载明的投标有效期。投标有效期不满足要求的，其</w:t>
      </w:r>
      <w:r>
        <w:rPr>
          <w:rFonts w:hint="eastAsia" w:ascii="宋体" w:hAnsi="宋体"/>
          <w:b/>
          <w:color w:val="auto"/>
          <w:szCs w:val="21"/>
        </w:rPr>
        <w:t>投标无效</w:t>
      </w:r>
      <w:r>
        <w:rPr>
          <w:rFonts w:hint="eastAsia" w:ascii="宋体" w:hAnsi="宋体"/>
          <w:color w:val="auto"/>
          <w:szCs w:val="21"/>
        </w:rPr>
        <w:t>。</w:t>
      </w:r>
    </w:p>
    <w:p w14:paraId="7ECAB74A">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16.2投标有效期内投标人撤销投标文件的，投标人应承担招标文件和法律规定的责任。</w:t>
      </w:r>
    </w:p>
    <w:p w14:paraId="7B550EAC">
      <w:pPr>
        <w:adjustRightInd w:val="0"/>
        <w:snapToGrid w:val="0"/>
        <w:spacing w:beforeLines="50" w:line="360" w:lineRule="auto"/>
        <w:jc w:val="left"/>
        <w:rPr>
          <w:rFonts w:ascii="宋体" w:hAnsi="宋体"/>
          <w:b/>
          <w:color w:val="auto"/>
          <w:sz w:val="24"/>
        </w:rPr>
      </w:pPr>
      <w:r>
        <w:rPr>
          <w:rFonts w:hint="eastAsia" w:ascii="宋体" w:hAnsi="宋体"/>
          <w:b/>
          <w:color w:val="auto"/>
          <w:sz w:val="24"/>
        </w:rPr>
        <w:t>17.分包</w:t>
      </w:r>
    </w:p>
    <w:p w14:paraId="46375900">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17.1</w:t>
      </w:r>
      <w:r>
        <w:rPr>
          <w:rFonts w:hint="eastAsia" w:hAnsi="宋体"/>
          <w:b/>
          <w:bCs/>
          <w:color w:val="auto"/>
        </w:rPr>
        <w:t>【投标须知前附表】</w:t>
      </w:r>
      <w:r>
        <w:rPr>
          <w:rFonts w:hint="eastAsia" w:ascii="宋体" w:hAnsi="宋体"/>
          <w:color w:val="auto"/>
        </w:rPr>
        <w:t>规定投标人分包的，投标人分包承诺不符合招标文件中有关分包规定的，其</w:t>
      </w:r>
      <w:r>
        <w:rPr>
          <w:rFonts w:hint="eastAsia" w:ascii="宋体" w:hAnsi="宋体"/>
          <w:b/>
          <w:bCs/>
          <w:color w:val="auto"/>
        </w:rPr>
        <w:t>投标无效</w:t>
      </w:r>
      <w:r>
        <w:rPr>
          <w:rFonts w:hint="eastAsia" w:ascii="宋体" w:hAnsi="宋体"/>
          <w:color w:val="auto"/>
        </w:rPr>
        <w:t>。</w:t>
      </w:r>
    </w:p>
    <w:p w14:paraId="4B60AA6D">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17.2投标人应在签订合同前向采购人提供分包合同，否则，采购人有权拒绝签订采购合同。</w:t>
      </w:r>
    </w:p>
    <w:p w14:paraId="35475EC5">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17.3分包供应商不得再次分包。</w:t>
      </w:r>
    </w:p>
    <w:p w14:paraId="3507562B">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18. 投标文件的签署</w:t>
      </w:r>
    </w:p>
    <w:p w14:paraId="239FBFA6">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18.1投标文件正本一份，副本份数见</w:t>
      </w:r>
      <w:r>
        <w:rPr>
          <w:rFonts w:hint="eastAsia" w:ascii="宋体" w:hAnsi="宋体"/>
          <w:b/>
          <w:color w:val="auto"/>
          <w:szCs w:val="21"/>
        </w:rPr>
        <w:t>【投标须知前附表】</w:t>
      </w:r>
      <w:r>
        <w:rPr>
          <w:rFonts w:hint="eastAsia" w:ascii="宋体" w:hAnsi="宋体"/>
          <w:bCs/>
          <w:color w:val="auto"/>
          <w:szCs w:val="21"/>
        </w:rPr>
        <w:t>。</w:t>
      </w:r>
      <w:r>
        <w:rPr>
          <w:rFonts w:hint="eastAsia" w:ascii="宋体" w:hAnsi="宋体"/>
          <w:color w:val="auto"/>
          <w:szCs w:val="21"/>
        </w:rPr>
        <w:t>纸质投标文件须清楚地注明“正本”或“副本”的字样。</w:t>
      </w:r>
    </w:p>
    <w:p w14:paraId="300EDD0E">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18.2投标文件正本应打印或用不褪色的材料书写，并由投标人和投标人代表按照招标文件规定在投标文件需要签署的位置签署、盖章。投标人代表可为投标人法定代表人(非法人组织为负责人、个体工商户为负责人，以下统称单位负责人)；投标人代表不是投标人的法定代表人（单位负责人）的，应提供授权委托书，</w:t>
      </w:r>
      <w:r>
        <w:rPr>
          <w:rFonts w:hint="eastAsia" w:ascii="宋体" w:hAnsi="宋体"/>
          <w:color w:val="auto"/>
        </w:rPr>
        <w:t>且需携带近3个月的社保缴纳证明。</w:t>
      </w:r>
      <w:r>
        <w:rPr>
          <w:rFonts w:hint="eastAsia" w:ascii="宋体" w:hAnsi="宋体"/>
          <w:color w:val="auto"/>
          <w:szCs w:val="21"/>
        </w:rPr>
        <w:t>投标文件的副本可以是正本文件的复印件。投标文件的正本与副本应分别装订成册，并编制目录。</w:t>
      </w:r>
    </w:p>
    <w:p w14:paraId="01D0D370">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18.3投标文件中的任何行间插字、涂改和增删，改动的地方应加盖单位章或由投标人代表签字确认。不按上述要求签署的，</w:t>
      </w:r>
      <w:r>
        <w:rPr>
          <w:rFonts w:hint="eastAsia" w:ascii="宋体" w:hAnsi="宋体"/>
          <w:b/>
          <w:color w:val="auto"/>
          <w:szCs w:val="21"/>
        </w:rPr>
        <w:t>其投标无效</w:t>
      </w:r>
      <w:r>
        <w:rPr>
          <w:rFonts w:hint="eastAsia" w:ascii="宋体" w:hAnsi="宋体"/>
          <w:color w:val="auto"/>
          <w:szCs w:val="21"/>
        </w:rPr>
        <w:t>。</w:t>
      </w:r>
    </w:p>
    <w:p w14:paraId="6CC8C2F2">
      <w:pPr>
        <w:pStyle w:val="14"/>
        <w:keepNext w:val="0"/>
        <w:keepLines w:val="0"/>
        <w:adjustRightInd w:val="0"/>
        <w:snapToGrid w:val="0"/>
        <w:spacing w:beforeLines="50" w:after="0" w:line="360" w:lineRule="auto"/>
        <w:jc w:val="center"/>
        <w:rPr>
          <w:rFonts w:ascii="黑体" w:hAnsi="黑体" w:eastAsia="黑体"/>
          <w:color w:val="auto"/>
          <w:sz w:val="28"/>
          <w:szCs w:val="28"/>
        </w:rPr>
      </w:pPr>
      <w:bookmarkStart w:id="24" w:name="_Toc16048"/>
      <w:r>
        <w:rPr>
          <w:rFonts w:hint="eastAsia" w:ascii="黑体" w:hAnsi="黑体" w:eastAsia="黑体"/>
          <w:color w:val="auto"/>
          <w:sz w:val="28"/>
          <w:szCs w:val="28"/>
        </w:rPr>
        <w:t>四、投标</w:t>
      </w:r>
      <w:bookmarkEnd w:id="24"/>
    </w:p>
    <w:p w14:paraId="3449F666">
      <w:pPr>
        <w:adjustRightInd w:val="0"/>
        <w:snapToGrid w:val="0"/>
        <w:spacing w:beforeLines="50" w:line="360" w:lineRule="auto"/>
        <w:jc w:val="left"/>
        <w:rPr>
          <w:rFonts w:ascii="宋体" w:hAnsi="宋体"/>
          <w:b/>
          <w:bCs/>
          <w:color w:val="auto"/>
          <w:sz w:val="24"/>
        </w:rPr>
      </w:pPr>
      <w:r>
        <w:rPr>
          <w:rFonts w:hint="eastAsia" w:ascii="宋体" w:hAnsi="宋体"/>
          <w:b/>
          <w:color w:val="auto"/>
          <w:sz w:val="24"/>
        </w:rPr>
        <w:t>19.</w:t>
      </w:r>
      <w:r>
        <w:rPr>
          <w:rFonts w:hint="eastAsia" w:ascii="宋体" w:hAnsi="宋体"/>
          <w:b/>
          <w:bCs/>
          <w:color w:val="auto"/>
          <w:sz w:val="24"/>
        </w:rPr>
        <w:t xml:space="preserve"> 投标文件的密封和标记</w:t>
      </w:r>
    </w:p>
    <w:p w14:paraId="33DF7777">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19.1投标人应将投标文件密封包装以保证自己的投标信息在开标前不被透露。</w:t>
      </w:r>
    </w:p>
    <w:p w14:paraId="11DDB591">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19</w:t>
      </w:r>
      <w:r>
        <w:rPr>
          <w:rFonts w:ascii="宋体" w:hAnsi="宋体"/>
          <w:color w:val="auto"/>
          <w:szCs w:val="21"/>
        </w:rPr>
        <w:t>.2</w:t>
      </w:r>
      <w:r>
        <w:rPr>
          <w:rFonts w:hint="eastAsia" w:ascii="宋体" w:hAnsi="宋体"/>
          <w:color w:val="auto"/>
          <w:szCs w:val="21"/>
        </w:rPr>
        <w:t>投标文件密封袋上应标明“投标项目名称”、“正本”或“副本”和“于（开标时间） 之前不得开启”的字样。如果采购项目分包招标的，还应注明投标的包号。</w:t>
      </w:r>
    </w:p>
    <w:p w14:paraId="66A34E8A">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19</w:t>
      </w:r>
      <w:r>
        <w:rPr>
          <w:rFonts w:ascii="宋体" w:hAnsi="宋体"/>
          <w:color w:val="auto"/>
          <w:szCs w:val="21"/>
        </w:rPr>
        <w:t>.</w:t>
      </w:r>
      <w:r>
        <w:rPr>
          <w:rFonts w:hint="eastAsia" w:ascii="宋体" w:hAnsi="宋体"/>
          <w:color w:val="auto"/>
          <w:szCs w:val="21"/>
        </w:rPr>
        <w:t>3未按本章第 20.1 款要求密封的投标文件，采购人</w:t>
      </w:r>
      <w:r>
        <w:rPr>
          <w:rFonts w:hint="eastAsia" w:ascii="宋体" w:hAnsi="宋体"/>
          <w:b/>
          <w:color w:val="auto"/>
          <w:szCs w:val="21"/>
        </w:rPr>
        <w:t>应当拒收</w:t>
      </w:r>
      <w:r>
        <w:rPr>
          <w:rFonts w:hint="eastAsia" w:ascii="宋体" w:hAnsi="宋体"/>
          <w:color w:val="auto"/>
          <w:szCs w:val="21"/>
        </w:rPr>
        <w:t>。</w:t>
      </w:r>
    </w:p>
    <w:p w14:paraId="4D8F76A8">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20.投标截止期</w:t>
      </w:r>
    </w:p>
    <w:p w14:paraId="15F4A01E">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20.1投标人应在</w:t>
      </w:r>
      <w:r>
        <w:rPr>
          <w:rFonts w:hint="eastAsia" w:ascii="宋体" w:hAnsi="宋体"/>
          <w:b/>
          <w:color w:val="auto"/>
          <w:szCs w:val="21"/>
        </w:rPr>
        <w:t>【投标须知前附表】</w:t>
      </w:r>
      <w:r>
        <w:rPr>
          <w:rFonts w:hint="eastAsia" w:ascii="宋体" w:hAnsi="宋体"/>
          <w:color w:val="auto"/>
          <w:szCs w:val="21"/>
        </w:rPr>
        <w:t>规定的投标截止时间将投标文件</w:t>
      </w:r>
      <w:r>
        <w:rPr>
          <w:rFonts w:hint="eastAsia" w:ascii="宋体" w:hAnsi="宋体"/>
          <w:bCs/>
          <w:color w:val="auto"/>
          <w:szCs w:val="21"/>
        </w:rPr>
        <w:t>密封送达</w:t>
      </w:r>
      <w:r>
        <w:rPr>
          <w:rFonts w:hint="eastAsia" w:ascii="宋体" w:hAnsi="宋体"/>
          <w:b/>
          <w:color w:val="auto"/>
          <w:szCs w:val="21"/>
        </w:rPr>
        <w:t>【投标须知前附表】</w:t>
      </w:r>
      <w:r>
        <w:rPr>
          <w:rFonts w:hint="eastAsia" w:ascii="宋体" w:hAnsi="宋体"/>
          <w:color w:val="auto"/>
          <w:szCs w:val="21"/>
        </w:rPr>
        <w:t>指定的投标地点。</w:t>
      </w:r>
    </w:p>
    <w:p w14:paraId="3376F1F7">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20.2逾期送达的投标文件，采购人</w:t>
      </w:r>
      <w:r>
        <w:rPr>
          <w:rFonts w:hint="eastAsia" w:ascii="宋体" w:hAnsi="宋体"/>
          <w:b/>
          <w:color w:val="auto"/>
          <w:szCs w:val="21"/>
        </w:rPr>
        <w:t>应当拒收</w:t>
      </w:r>
      <w:r>
        <w:rPr>
          <w:rFonts w:hint="eastAsia" w:ascii="宋体" w:hAnsi="宋体"/>
          <w:color w:val="auto"/>
          <w:szCs w:val="21"/>
        </w:rPr>
        <w:t>。</w:t>
      </w:r>
    </w:p>
    <w:p w14:paraId="02F272C6">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color w:val="auto"/>
          <w:szCs w:val="21"/>
        </w:rPr>
        <w:t>20.3</w:t>
      </w:r>
      <w:r>
        <w:rPr>
          <w:rFonts w:hint="eastAsia" w:ascii="宋体" w:hAnsi="宋体"/>
          <w:bCs/>
          <w:color w:val="auto"/>
          <w:szCs w:val="21"/>
        </w:rPr>
        <w:t>采购人收到投标文件后，应现场说明密封情况。任何单位和个人不得在开标前开启投标文件。</w:t>
      </w:r>
    </w:p>
    <w:p w14:paraId="04AFF821">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21. 投标文件的修改和撤回</w:t>
      </w:r>
    </w:p>
    <w:p w14:paraId="782A6CB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投标人在递交投标文件后，不可再进行修改和撤回。</w:t>
      </w:r>
    </w:p>
    <w:p w14:paraId="2010F38C">
      <w:pPr>
        <w:adjustRightInd w:val="0"/>
        <w:snapToGrid w:val="0"/>
        <w:spacing w:beforeLines="50" w:line="360" w:lineRule="auto"/>
        <w:jc w:val="left"/>
        <w:rPr>
          <w:rFonts w:ascii="宋体" w:hAnsi="宋体" w:cs="Arial"/>
          <w:b/>
          <w:color w:val="auto"/>
          <w:sz w:val="24"/>
        </w:rPr>
      </w:pPr>
      <w:r>
        <w:rPr>
          <w:rFonts w:hint="eastAsia" w:ascii="宋体" w:hAnsi="宋体"/>
          <w:b/>
          <w:bCs/>
          <w:color w:val="auto"/>
          <w:sz w:val="24"/>
        </w:rPr>
        <w:t>22.</w:t>
      </w:r>
      <w:r>
        <w:rPr>
          <w:rFonts w:hint="eastAsia" w:ascii="宋体" w:hAnsi="宋体" w:cs="Arial"/>
          <w:b/>
          <w:color w:val="auto"/>
          <w:sz w:val="24"/>
        </w:rPr>
        <w:t xml:space="preserve"> 串通</w:t>
      </w:r>
      <w:r>
        <w:rPr>
          <w:rFonts w:hint="eastAsia" w:ascii="宋体" w:hAnsi="宋体"/>
          <w:b/>
          <w:color w:val="auto"/>
          <w:sz w:val="24"/>
        </w:rPr>
        <w:t>投标行为</w:t>
      </w:r>
    </w:p>
    <w:p w14:paraId="692FA9F6">
      <w:pPr>
        <w:adjustRightInd w:val="0"/>
        <w:snapToGrid w:val="0"/>
        <w:spacing w:beforeLines="50" w:line="360" w:lineRule="auto"/>
        <w:ind w:firstLine="396" w:firstLineChars="200"/>
        <w:jc w:val="left"/>
        <w:rPr>
          <w:rFonts w:ascii="宋体" w:hAnsi="宋体"/>
          <w:color w:val="auto"/>
          <w:spacing w:val="-6"/>
          <w:szCs w:val="21"/>
        </w:rPr>
      </w:pPr>
      <w:r>
        <w:rPr>
          <w:rFonts w:hint="eastAsia" w:ascii="宋体" w:hAnsi="宋体"/>
          <w:color w:val="auto"/>
          <w:spacing w:val="-6"/>
          <w:szCs w:val="21"/>
        </w:rPr>
        <w:t>22.1有下列情形之一的，属于恶意串通，对投标人依照政府采购法第七十七条第一款的规定追究法律责任：</w:t>
      </w:r>
    </w:p>
    <w:p w14:paraId="4FA33E3C">
      <w:pPr>
        <w:adjustRightInd w:val="0"/>
        <w:snapToGrid w:val="0"/>
        <w:spacing w:beforeLines="50" w:line="360" w:lineRule="auto"/>
        <w:ind w:firstLine="396" w:firstLineChars="200"/>
        <w:jc w:val="left"/>
        <w:rPr>
          <w:rFonts w:ascii="宋体" w:hAnsi="宋体"/>
          <w:color w:val="auto"/>
          <w:spacing w:val="-6"/>
          <w:szCs w:val="21"/>
        </w:rPr>
      </w:pPr>
      <w:r>
        <w:rPr>
          <w:rFonts w:hint="eastAsia" w:ascii="宋体" w:hAnsi="宋体"/>
          <w:color w:val="auto"/>
          <w:spacing w:val="-6"/>
          <w:szCs w:val="21"/>
        </w:rPr>
        <w:t>（1）投标人直接或者间接从采购人处获得其他投标人的相关情况并修改其投标文件；</w:t>
      </w:r>
    </w:p>
    <w:p w14:paraId="42905CE1">
      <w:pPr>
        <w:adjustRightInd w:val="0"/>
        <w:snapToGrid w:val="0"/>
        <w:spacing w:beforeLines="50" w:line="360" w:lineRule="auto"/>
        <w:ind w:firstLine="396" w:firstLineChars="200"/>
        <w:jc w:val="left"/>
        <w:rPr>
          <w:rFonts w:ascii="宋体" w:hAnsi="宋体"/>
          <w:color w:val="auto"/>
          <w:spacing w:val="-6"/>
          <w:szCs w:val="21"/>
        </w:rPr>
      </w:pPr>
      <w:r>
        <w:rPr>
          <w:rFonts w:hint="eastAsia" w:ascii="宋体" w:hAnsi="宋体"/>
          <w:color w:val="auto"/>
          <w:spacing w:val="-6"/>
          <w:szCs w:val="21"/>
        </w:rPr>
        <w:t>（2）投标人按照采购人的授意撤换、修改投标文件；</w:t>
      </w:r>
    </w:p>
    <w:p w14:paraId="3B24E001">
      <w:pPr>
        <w:adjustRightInd w:val="0"/>
        <w:snapToGrid w:val="0"/>
        <w:spacing w:beforeLines="50" w:line="360" w:lineRule="auto"/>
        <w:ind w:firstLine="396" w:firstLineChars="200"/>
        <w:jc w:val="left"/>
        <w:rPr>
          <w:rFonts w:ascii="宋体" w:hAnsi="宋体"/>
          <w:color w:val="auto"/>
          <w:spacing w:val="-6"/>
          <w:szCs w:val="21"/>
        </w:rPr>
      </w:pPr>
      <w:r>
        <w:rPr>
          <w:rFonts w:hint="eastAsia" w:ascii="宋体" w:hAnsi="宋体"/>
          <w:color w:val="auto"/>
          <w:spacing w:val="-6"/>
          <w:szCs w:val="21"/>
        </w:rPr>
        <w:t>（3）投标人之间协商报价、技术方案等投标文件的实质性内容；</w:t>
      </w:r>
    </w:p>
    <w:p w14:paraId="0E22B1B3">
      <w:pPr>
        <w:adjustRightInd w:val="0"/>
        <w:snapToGrid w:val="0"/>
        <w:spacing w:beforeLines="50" w:line="360" w:lineRule="auto"/>
        <w:ind w:firstLine="396" w:firstLineChars="200"/>
        <w:jc w:val="left"/>
        <w:rPr>
          <w:rFonts w:ascii="宋体" w:hAnsi="宋体"/>
          <w:color w:val="auto"/>
          <w:spacing w:val="-6"/>
          <w:szCs w:val="21"/>
        </w:rPr>
      </w:pPr>
      <w:r>
        <w:rPr>
          <w:rFonts w:hint="eastAsia" w:ascii="宋体" w:hAnsi="宋体"/>
          <w:color w:val="auto"/>
          <w:spacing w:val="-6"/>
          <w:szCs w:val="21"/>
        </w:rPr>
        <w:t>（4）属于同一集团、协会、商会等组织成员的投标人按照该组织要求协同参加询价比选活动；</w:t>
      </w:r>
    </w:p>
    <w:p w14:paraId="308BA846">
      <w:pPr>
        <w:adjustRightInd w:val="0"/>
        <w:snapToGrid w:val="0"/>
        <w:spacing w:beforeLines="50" w:line="360" w:lineRule="auto"/>
        <w:ind w:firstLine="396" w:firstLineChars="200"/>
        <w:jc w:val="left"/>
        <w:rPr>
          <w:rFonts w:ascii="宋体" w:hAnsi="宋体"/>
          <w:color w:val="auto"/>
          <w:spacing w:val="-6"/>
          <w:szCs w:val="21"/>
        </w:rPr>
      </w:pPr>
      <w:r>
        <w:rPr>
          <w:rFonts w:hint="eastAsia" w:ascii="宋体" w:hAnsi="宋体"/>
          <w:color w:val="auto"/>
          <w:spacing w:val="-6"/>
          <w:szCs w:val="21"/>
        </w:rPr>
        <w:t>（5）投标人之间事先约定由某一特定投标人中标；</w:t>
      </w:r>
    </w:p>
    <w:p w14:paraId="436F0B93">
      <w:pPr>
        <w:adjustRightInd w:val="0"/>
        <w:snapToGrid w:val="0"/>
        <w:spacing w:beforeLines="50" w:line="360" w:lineRule="auto"/>
        <w:ind w:firstLine="396" w:firstLineChars="200"/>
        <w:jc w:val="left"/>
        <w:rPr>
          <w:rFonts w:ascii="宋体" w:hAnsi="宋体"/>
          <w:color w:val="auto"/>
          <w:spacing w:val="-6"/>
          <w:szCs w:val="21"/>
        </w:rPr>
      </w:pPr>
      <w:r>
        <w:rPr>
          <w:rFonts w:hint="eastAsia" w:ascii="宋体" w:hAnsi="宋体"/>
          <w:color w:val="auto"/>
          <w:spacing w:val="-6"/>
          <w:szCs w:val="21"/>
        </w:rPr>
        <w:t>（6）投标人之间商定部分投标人放弃参加政府采购活动或者放弃中标；</w:t>
      </w:r>
    </w:p>
    <w:p w14:paraId="2DAE2765">
      <w:pPr>
        <w:adjustRightInd w:val="0"/>
        <w:snapToGrid w:val="0"/>
        <w:spacing w:beforeLines="50" w:line="360" w:lineRule="auto"/>
        <w:ind w:firstLine="396" w:firstLineChars="200"/>
        <w:jc w:val="left"/>
        <w:rPr>
          <w:rFonts w:ascii="宋体" w:hAnsi="宋体"/>
          <w:color w:val="auto"/>
          <w:spacing w:val="-6"/>
          <w:szCs w:val="21"/>
        </w:rPr>
      </w:pPr>
      <w:r>
        <w:rPr>
          <w:rFonts w:hint="eastAsia" w:ascii="宋体" w:hAnsi="宋体"/>
          <w:color w:val="auto"/>
          <w:spacing w:val="-6"/>
          <w:szCs w:val="21"/>
        </w:rPr>
        <w:t>（7）投标人与采购人之间、投标人相互之间，为谋求特定投标人中标或者排斥其他投标人的其他串通行为。</w:t>
      </w:r>
    </w:p>
    <w:p w14:paraId="6BC7616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22.2有下列情形之一的，视为投标人串通投标，其</w:t>
      </w:r>
      <w:r>
        <w:rPr>
          <w:rFonts w:hint="eastAsia" w:ascii="宋体" w:hAnsi="宋体"/>
          <w:b/>
          <w:color w:val="auto"/>
          <w:szCs w:val="21"/>
        </w:rPr>
        <w:t>投标无效</w:t>
      </w:r>
      <w:r>
        <w:rPr>
          <w:rFonts w:hint="eastAsia" w:ascii="宋体" w:hAnsi="宋体"/>
          <w:color w:val="auto"/>
          <w:szCs w:val="21"/>
        </w:rPr>
        <w:t>：</w:t>
      </w:r>
    </w:p>
    <w:p w14:paraId="7E76E996">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（1）不同投标人的投标文件由同一单位或者个人编制；</w:t>
      </w:r>
    </w:p>
    <w:p w14:paraId="75F3F94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（2）不同投标人委托同一单位或者个人办理投标事宜；</w:t>
      </w:r>
    </w:p>
    <w:p w14:paraId="4875DA96">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（3）不同投标人的投标文件载明的项目管理成员或者联系人员为同一人；</w:t>
      </w:r>
    </w:p>
    <w:p w14:paraId="074A78C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（4）不同投标人的投标文件异常一致或者投标报价呈规律性差异；</w:t>
      </w:r>
    </w:p>
    <w:p w14:paraId="45230C90">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（5）不同投标人的投标文件相互混装；</w:t>
      </w:r>
    </w:p>
    <w:p w14:paraId="2DF17D09">
      <w:pPr>
        <w:pStyle w:val="14"/>
        <w:adjustRightInd w:val="0"/>
        <w:snapToGrid w:val="0"/>
        <w:spacing w:beforeLines="50" w:after="0" w:line="360" w:lineRule="auto"/>
        <w:jc w:val="center"/>
        <w:rPr>
          <w:rFonts w:ascii="黑体" w:hAnsi="黑体" w:eastAsia="黑体"/>
          <w:color w:val="auto"/>
          <w:sz w:val="28"/>
          <w:szCs w:val="28"/>
        </w:rPr>
      </w:pPr>
      <w:bookmarkStart w:id="25" w:name="_Toc8931"/>
      <w:r>
        <w:rPr>
          <w:rFonts w:hint="eastAsia" w:ascii="黑体" w:hAnsi="黑体" w:eastAsia="黑体"/>
          <w:color w:val="auto"/>
          <w:sz w:val="28"/>
          <w:szCs w:val="28"/>
        </w:rPr>
        <w:t>五、开标，资格审查和评标</w:t>
      </w:r>
      <w:bookmarkEnd w:id="25"/>
    </w:p>
    <w:p w14:paraId="49FD0705">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23. 开标</w:t>
      </w:r>
    </w:p>
    <w:p w14:paraId="4437656E">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23.1采购人在</w:t>
      </w:r>
      <w:r>
        <w:rPr>
          <w:rFonts w:hint="eastAsia" w:ascii="宋体" w:hAnsi="宋体"/>
          <w:b/>
          <w:color w:val="auto"/>
          <w:szCs w:val="21"/>
        </w:rPr>
        <w:t>【投标须知前附表】</w:t>
      </w:r>
      <w:r>
        <w:rPr>
          <w:rFonts w:hint="eastAsia" w:ascii="宋体" w:hAnsi="宋体"/>
          <w:color w:val="auto"/>
          <w:szCs w:val="21"/>
        </w:rPr>
        <w:t>规定的开标地点组织开标，并邀请投标人参加。投标人未参加开标的，视同认可开标结果。</w:t>
      </w:r>
    </w:p>
    <w:p w14:paraId="7BF0E0B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23.2采购人公布投标人名称、投标价格和</w:t>
      </w:r>
      <w:r>
        <w:rPr>
          <w:rFonts w:hint="eastAsia" w:ascii="宋体" w:hAnsi="宋体"/>
          <w:b/>
          <w:color w:val="auto"/>
          <w:szCs w:val="21"/>
        </w:rPr>
        <w:t>【投标须知前附表】</w:t>
      </w:r>
      <w:r>
        <w:rPr>
          <w:rFonts w:hint="eastAsia" w:ascii="宋体" w:hAnsi="宋体"/>
          <w:color w:val="auto"/>
          <w:szCs w:val="21"/>
        </w:rPr>
        <w:t>规定需要宣布的其他内容。投标人不足3家的，不得开标。</w:t>
      </w:r>
    </w:p>
    <w:p w14:paraId="6D04C6DC">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23.3开标记录由参加开标的各投标人代表和相关工作人员确认后随采购文件一并存档。</w:t>
      </w:r>
    </w:p>
    <w:p w14:paraId="2D2C6757">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23.4投标人代表对开标过程和开标记录有疑义，以及认为采购人相关工作人员有《政府采购法实施条例》第九条第一款需要回避的情形的，应当场提出询问或者回避申请。</w:t>
      </w:r>
    </w:p>
    <w:p w14:paraId="71EB4BF0">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23.5采购人对投标人代表当场提出的询问或者回避申请，按《政府采购法实施条例》有关规定及时处理。</w:t>
      </w:r>
    </w:p>
    <w:p w14:paraId="6FDABA82">
      <w:pPr>
        <w:adjustRightInd w:val="0"/>
        <w:snapToGrid w:val="0"/>
        <w:spacing w:beforeLines="50" w:line="360" w:lineRule="auto"/>
        <w:jc w:val="left"/>
        <w:rPr>
          <w:rFonts w:ascii="宋体" w:hAnsi="宋体"/>
          <w:b/>
          <w:color w:val="auto"/>
          <w:sz w:val="24"/>
        </w:rPr>
      </w:pPr>
      <w:r>
        <w:rPr>
          <w:rStyle w:val="33"/>
          <w:rFonts w:hint="eastAsia" w:ascii="宋体" w:hAnsi="宋体" w:cs="Arial"/>
          <w:color w:val="auto"/>
          <w:sz w:val="24"/>
        </w:rPr>
        <w:t>24.</w:t>
      </w:r>
      <w:r>
        <w:rPr>
          <w:rFonts w:hint="eastAsia" w:ascii="宋体" w:hAnsi="宋体"/>
          <w:b/>
          <w:color w:val="auto"/>
          <w:sz w:val="24"/>
        </w:rPr>
        <w:t xml:space="preserve"> 资格审查</w:t>
      </w:r>
    </w:p>
    <w:p w14:paraId="54078CDF">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24.1开标结束后，评标委员会依法按照第三章</w:t>
      </w:r>
      <w:r>
        <w:rPr>
          <w:rFonts w:hint="eastAsia" w:ascii="华文宋体" w:hAnsi="华文宋体" w:eastAsia="华文宋体"/>
          <w:color w:val="auto"/>
          <w:szCs w:val="21"/>
        </w:rPr>
        <w:t>“</w:t>
      </w:r>
      <w:r>
        <w:rPr>
          <w:rFonts w:hint="eastAsia" w:ascii="宋体" w:hAnsi="宋体"/>
          <w:color w:val="auto"/>
          <w:szCs w:val="21"/>
        </w:rPr>
        <w:t>资格审查</w:t>
      </w:r>
      <w:r>
        <w:rPr>
          <w:rFonts w:hint="eastAsia" w:ascii="华文宋体" w:hAnsi="华文宋体" w:eastAsia="华文宋体"/>
          <w:color w:val="auto"/>
          <w:szCs w:val="21"/>
        </w:rPr>
        <w:t>”</w:t>
      </w:r>
      <w:r>
        <w:rPr>
          <w:rFonts w:hint="eastAsia" w:ascii="宋体" w:hAnsi="宋体"/>
          <w:color w:val="auto"/>
          <w:szCs w:val="21"/>
        </w:rPr>
        <w:t>规定组织资格审查。</w:t>
      </w:r>
    </w:p>
    <w:p w14:paraId="54A18DA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24.2资格审查结束后，资格审查不合格投标人不进入评标；资格审查合格投标人少于3家的，不得评标。</w:t>
      </w:r>
    </w:p>
    <w:p w14:paraId="492D94C4">
      <w:pPr>
        <w:adjustRightInd w:val="0"/>
        <w:snapToGrid w:val="0"/>
        <w:spacing w:beforeLines="50" w:line="360" w:lineRule="auto"/>
        <w:jc w:val="left"/>
        <w:rPr>
          <w:rFonts w:ascii="宋体" w:hAnsi="宋体"/>
          <w:b/>
          <w:color w:val="auto"/>
          <w:sz w:val="24"/>
        </w:rPr>
      </w:pPr>
      <w:r>
        <w:rPr>
          <w:rFonts w:hint="eastAsia" w:ascii="宋体" w:hAnsi="宋体"/>
          <w:b/>
          <w:bCs/>
          <w:color w:val="auto"/>
          <w:sz w:val="24"/>
        </w:rPr>
        <w:t>25.</w:t>
      </w:r>
      <w:r>
        <w:rPr>
          <w:rFonts w:hint="eastAsia" w:ascii="宋体" w:hAnsi="宋体"/>
          <w:b/>
          <w:color w:val="auto"/>
          <w:sz w:val="24"/>
        </w:rPr>
        <w:t xml:space="preserve"> 评标委员会</w:t>
      </w:r>
    </w:p>
    <w:p w14:paraId="18573DE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25.1评标由评标委员会负责，评标委员会由采购人代表或评审专家组成。</w:t>
      </w:r>
    </w:p>
    <w:p w14:paraId="28D9000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25.2评标委员会成员有下列情形之一的，应当回避：</w:t>
      </w:r>
    </w:p>
    <w:p w14:paraId="6EE8AA2E">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（1）参加采购活动前三年内,与投标人存在劳动关系,或者担任过投标人的董事、监事,或者是投标人的控股股东或实际控制人；</w:t>
      </w:r>
    </w:p>
    <w:p w14:paraId="1A71D16A">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（2）与投标人的法定代表人或者负责人有夫妻、直系血亲、三代以内旁系血亲或者近姻亲关系；</w:t>
      </w:r>
    </w:p>
    <w:p w14:paraId="044F99B0">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（3）与投标人有其他可能影响政府采购活动公平、公正进行的关系。</w:t>
      </w:r>
    </w:p>
    <w:p w14:paraId="3028AC30">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25.3评标委员会负责具体评标事务，并独立履行下列职责：</w:t>
      </w:r>
    </w:p>
    <w:p w14:paraId="1B57D15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（1）审查、评价投标文件是否符合招标文件的商务、技术等实质性要求；</w:t>
      </w:r>
    </w:p>
    <w:p w14:paraId="2E25011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（2）要求投标人对投标文件有关事项作出澄清或者说明；</w:t>
      </w:r>
    </w:p>
    <w:p w14:paraId="1DED2E1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（3）对投标文件进行比较和评价；</w:t>
      </w:r>
    </w:p>
    <w:p w14:paraId="31811B04">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（4）确定中标候选人名单，</w:t>
      </w:r>
      <w:r>
        <w:rPr>
          <w:color w:val="auto"/>
          <w:szCs w:val="21"/>
        </w:rPr>
        <w:t>推荐不超过</w:t>
      </w:r>
      <w:r>
        <w:rPr>
          <w:rFonts w:hint="eastAsia"/>
          <w:color w:val="auto"/>
          <w:szCs w:val="21"/>
        </w:rPr>
        <w:t>3</w:t>
      </w:r>
      <w:r>
        <w:rPr>
          <w:color w:val="auto"/>
          <w:szCs w:val="21"/>
        </w:rPr>
        <w:t>个有排序的中标候选人</w:t>
      </w:r>
      <w:r>
        <w:rPr>
          <w:rFonts w:hint="eastAsia" w:ascii="宋体" w:hAnsi="宋体"/>
          <w:color w:val="auto"/>
          <w:szCs w:val="21"/>
        </w:rPr>
        <w:t>。</w:t>
      </w:r>
    </w:p>
    <w:p w14:paraId="72977196">
      <w:pPr>
        <w:adjustRightInd w:val="0"/>
        <w:snapToGrid w:val="0"/>
        <w:spacing w:beforeLines="50" w:line="360" w:lineRule="auto"/>
        <w:jc w:val="left"/>
        <w:rPr>
          <w:rFonts w:ascii="宋体" w:hAnsi="宋体"/>
          <w:b/>
          <w:bCs/>
          <w:color w:val="auto"/>
          <w:sz w:val="24"/>
        </w:rPr>
      </w:pPr>
      <w:r>
        <w:rPr>
          <w:rFonts w:hint="eastAsia" w:ascii="宋体" w:hAnsi="宋体"/>
          <w:b/>
          <w:color w:val="auto"/>
          <w:sz w:val="24"/>
        </w:rPr>
        <w:t>26.</w:t>
      </w:r>
      <w:r>
        <w:rPr>
          <w:rFonts w:hint="eastAsia" w:ascii="宋体" w:hAnsi="宋体"/>
          <w:b/>
          <w:bCs/>
          <w:color w:val="auto"/>
          <w:sz w:val="24"/>
        </w:rPr>
        <w:t xml:space="preserve"> 评标</w:t>
      </w:r>
    </w:p>
    <w:p w14:paraId="59419E03">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26.1评标委员会按照</w:t>
      </w:r>
      <w:r>
        <w:rPr>
          <w:rFonts w:hint="eastAsia" w:ascii="宋体" w:hAnsi="宋体"/>
          <w:bCs/>
          <w:color w:val="auto"/>
        </w:rPr>
        <w:t>第四章</w:t>
      </w:r>
      <w:r>
        <w:rPr>
          <w:rFonts w:hint="eastAsia" w:ascii="华文宋体" w:hAnsi="华文宋体" w:eastAsia="华文宋体"/>
          <w:bCs/>
          <w:color w:val="auto"/>
        </w:rPr>
        <w:t>“</w:t>
      </w:r>
      <w:r>
        <w:rPr>
          <w:rFonts w:hint="eastAsia" w:ascii="宋体" w:hAnsi="宋体"/>
          <w:bCs/>
          <w:color w:val="auto"/>
        </w:rPr>
        <w:t>评标方法及标准</w:t>
      </w:r>
      <w:r>
        <w:rPr>
          <w:rFonts w:hint="eastAsia" w:ascii="华文宋体" w:hAnsi="华文宋体" w:eastAsia="华文宋体"/>
          <w:bCs/>
          <w:color w:val="auto"/>
        </w:rPr>
        <w:t>”</w:t>
      </w:r>
      <w:r>
        <w:rPr>
          <w:rFonts w:hint="eastAsia" w:ascii="宋体" w:hAnsi="宋体"/>
          <w:color w:val="auto"/>
        </w:rPr>
        <w:t>规定的评标方法、评审因素、标准和程序以及有关法律、法规及规章对投标文件进行评审。</w:t>
      </w:r>
    </w:p>
    <w:p w14:paraId="27661598">
      <w:pPr>
        <w:pStyle w:val="14"/>
        <w:adjustRightInd w:val="0"/>
        <w:snapToGrid w:val="0"/>
        <w:spacing w:beforeLines="50" w:after="0" w:line="360" w:lineRule="auto"/>
        <w:jc w:val="center"/>
        <w:rPr>
          <w:rFonts w:ascii="黑体" w:hAnsi="黑体" w:eastAsia="黑体"/>
          <w:color w:val="auto"/>
          <w:sz w:val="28"/>
          <w:szCs w:val="28"/>
        </w:rPr>
      </w:pPr>
      <w:bookmarkStart w:id="26" w:name="_Toc3478"/>
      <w:r>
        <w:rPr>
          <w:rFonts w:hint="eastAsia" w:ascii="黑体" w:hAnsi="黑体" w:eastAsia="黑体"/>
          <w:color w:val="auto"/>
          <w:sz w:val="28"/>
          <w:szCs w:val="28"/>
        </w:rPr>
        <w:t>六、中标信息公布</w:t>
      </w:r>
      <w:bookmarkEnd w:id="26"/>
    </w:p>
    <w:p w14:paraId="4798FBA0">
      <w:pPr>
        <w:adjustRightInd w:val="0"/>
        <w:snapToGrid w:val="0"/>
        <w:spacing w:beforeLines="50" w:line="360" w:lineRule="auto"/>
        <w:jc w:val="left"/>
        <w:rPr>
          <w:rFonts w:ascii="宋体" w:hAnsi="宋体"/>
          <w:b/>
          <w:bCs/>
          <w:color w:val="auto"/>
          <w:sz w:val="24"/>
        </w:rPr>
      </w:pPr>
      <w:r>
        <w:rPr>
          <w:rFonts w:hint="eastAsia" w:ascii="宋体" w:hAnsi="宋体"/>
          <w:b/>
          <w:color w:val="auto"/>
          <w:sz w:val="24"/>
        </w:rPr>
        <w:t>27.</w:t>
      </w:r>
      <w:r>
        <w:rPr>
          <w:rFonts w:hint="eastAsia" w:ascii="宋体" w:hAnsi="宋体"/>
          <w:color w:val="auto"/>
          <w:sz w:val="24"/>
        </w:rPr>
        <w:t xml:space="preserve"> </w:t>
      </w:r>
      <w:r>
        <w:rPr>
          <w:rFonts w:hint="eastAsia" w:ascii="宋体" w:hAnsi="宋体"/>
          <w:b/>
          <w:bCs/>
          <w:color w:val="auto"/>
          <w:sz w:val="24"/>
        </w:rPr>
        <w:t>中标通知书与中标信息公布</w:t>
      </w:r>
    </w:p>
    <w:p w14:paraId="1227373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27.1采购人根据评标报告中确定的中标候选人名单按顺序确定中标人。中标候选人并列的，按照</w:t>
      </w:r>
      <w:r>
        <w:rPr>
          <w:rFonts w:hint="eastAsia" w:ascii="宋体" w:hAnsi="宋体"/>
          <w:b/>
          <w:color w:val="auto"/>
          <w:szCs w:val="21"/>
        </w:rPr>
        <w:t>【投标须知前附表】</w:t>
      </w:r>
      <w:r>
        <w:rPr>
          <w:rFonts w:hint="eastAsia" w:ascii="宋体" w:hAnsi="宋体"/>
          <w:color w:val="auto"/>
          <w:szCs w:val="21"/>
        </w:rPr>
        <w:t>规定的方式确定中标人；招标文件未规定的，采取随机抽取的方式确定。</w:t>
      </w:r>
    </w:p>
    <w:p w14:paraId="051205B6">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27.2采购人将在招标公告指定媒体上公告中标结果，中标结果公告期限为1个工作日。</w:t>
      </w:r>
    </w:p>
    <w:p w14:paraId="7B99A2EF">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28.</w:t>
      </w:r>
      <w:r>
        <w:rPr>
          <w:rFonts w:hint="eastAsia" w:ascii="宋体" w:hAnsi="宋体"/>
          <w:b/>
          <w:color w:val="auto"/>
          <w:sz w:val="24"/>
        </w:rPr>
        <w:t xml:space="preserve"> 投标人询问及</w:t>
      </w:r>
      <w:r>
        <w:rPr>
          <w:rFonts w:hint="eastAsia" w:ascii="宋体" w:hAnsi="宋体"/>
          <w:b/>
          <w:bCs/>
          <w:color w:val="auto"/>
          <w:sz w:val="24"/>
        </w:rPr>
        <w:t>质疑</w:t>
      </w:r>
    </w:p>
    <w:p w14:paraId="7FF5A25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28.1投标人对询价比选活动事项有疑问的，可以电话向采购人提出询问。采购人将在1个日历日内作出答复。</w:t>
      </w:r>
    </w:p>
    <w:p w14:paraId="120C5470">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28.2开标前或公示期内，投标人认为招标文件、采购过程和中标结果使自己的权益受到损害的，可以在知道或者应知其权益受到损害之日起3个工作日内，流程参照《湖南省财政厅关于印发＜政府采购质疑答复和投诉处理操作规程＞的通知》(湘财购〔2019〕20号)规定，以纸质书面形式向采购人提出质疑。投标人应当在质疑期内一次性提出针对同一采购程序环节的质疑。</w:t>
      </w:r>
    </w:p>
    <w:p w14:paraId="198CA814">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28.3投标人提出质疑的，应参照《湖南省财政厅关于印发＜政府采购质疑答复和投诉处理操作规程＞的通知》规定制作、签署、送达。采购人接收质疑函的联系部门、联系电话和通讯地址见</w:t>
      </w:r>
      <w:r>
        <w:rPr>
          <w:rFonts w:hint="eastAsia" w:ascii="宋体" w:hAnsi="宋体"/>
          <w:b/>
          <w:color w:val="auto"/>
          <w:szCs w:val="21"/>
        </w:rPr>
        <w:t>【投标须知前附表】</w:t>
      </w:r>
      <w:r>
        <w:rPr>
          <w:rFonts w:hint="eastAsia" w:ascii="宋体" w:hAnsi="宋体"/>
          <w:color w:val="auto"/>
          <w:szCs w:val="21"/>
        </w:rPr>
        <w:t xml:space="preserve">。  </w:t>
      </w:r>
    </w:p>
    <w:p w14:paraId="4B0FFE02">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28.4采购人按照《湖南省财政厅关于印发＜政府采购质疑答复和投诉处理操作规程＞的通知》规定进行质疑答复。</w:t>
      </w:r>
    </w:p>
    <w:p w14:paraId="609F4E18">
      <w:pPr>
        <w:adjustRightInd w:val="0"/>
        <w:snapToGrid w:val="0"/>
        <w:spacing w:beforeLines="50" w:line="360" w:lineRule="auto"/>
        <w:ind w:firstLine="420" w:firstLineChars="200"/>
        <w:jc w:val="left"/>
        <w:rPr>
          <w:rFonts w:ascii="宋体" w:hAnsi="宋体"/>
          <w:b/>
          <w:bCs/>
          <w:color w:val="auto"/>
        </w:rPr>
      </w:pPr>
      <w:r>
        <w:rPr>
          <w:rFonts w:hint="eastAsia" w:ascii="宋体" w:hAnsi="宋体"/>
          <w:color w:val="auto"/>
          <w:szCs w:val="21"/>
        </w:rPr>
        <w:t>28</w:t>
      </w:r>
      <w:r>
        <w:rPr>
          <w:rFonts w:ascii="宋体" w:hAnsi="宋体"/>
          <w:color w:val="auto"/>
          <w:szCs w:val="21"/>
        </w:rPr>
        <w:t>.</w:t>
      </w:r>
      <w:r>
        <w:rPr>
          <w:rFonts w:hint="eastAsia" w:ascii="宋体" w:hAnsi="宋体"/>
          <w:color w:val="auto"/>
          <w:szCs w:val="21"/>
        </w:rPr>
        <w:t>5投标人对采购人的答复不满意，或采购人未在规定的期限作出答复的，可在答复期满后3个工作日内，按照《湖南省财政厅关于印发＜政府采购质疑答复和投诉处理操作规程＞的通知》规定向采购监督部门提出投诉。</w:t>
      </w:r>
    </w:p>
    <w:p w14:paraId="16DE855F">
      <w:pPr>
        <w:pStyle w:val="14"/>
        <w:adjustRightInd w:val="0"/>
        <w:snapToGrid w:val="0"/>
        <w:spacing w:beforeLines="50" w:after="0" w:line="360" w:lineRule="auto"/>
        <w:jc w:val="center"/>
        <w:rPr>
          <w:rFonts w:ascii="黑体" w:hAnsi="黑体" w:eastAsia="黑体"/>
          <w:color w:val="auto"/>
          <w:sz w:val="28"/>
          <w:szCs w:val="28"/>
        </w:rPr>
      </w:pPr>
      <w:bookmarkStart w:id="27" w:name="_Toc24964"/>
      <w:r>
        <w:rPr>
          <w:rFonts w:hint="eastAsia" w:ascii="黑体" w:hAnsi="黑体" w:eastAsia="黑体"/>
          <w:color w:val="auto"/>
          <w:sz w:val="28"/>
          <w:szCs w:val="28"/>
        </w:rPr>
        <w:t>七、合同签订</w:t>
      </w:r>
      <w:bookmarkEnd w:id="27"/>
    </w:p>
    <w:p w14:paraId="65E7883B">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29. 签订合同</w:t>
      </w:r>
    </w:p>
    <w:p w14:paraId="3353F72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29.1采购人应自中标结果公示结束之日起30日内与中标人签订合同。所签订的合同不得对招标文件确定的事项和中标人投标文件作实质性修改。</w:t>
      </w:r>
    </w:p>
    <w:p w14:paraId="4F5CB5B2">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29.2招标文件、中标人的投标文件均为签订合同的依据。</w:t>
      </w:r>
    </w:p>
    <w:p w14:paraId="46F6116F">
      <w:pPr>
        <w:adjustRightInd w:val="0"/>
        <w:snapToGrid w:val="0"/>
        <w:spacing w:beforeLines="50" w:line="360" w:lineRule="auto"/>
        <w:ind w:firstLine="420" w:firstLineChars="200"/>
        <w:jc w:val="left"/>
        <w:rPr>
          <w:rFonts w:ascii="宋体" w:hAnsi="宋体" w:cs="微软雅黑"/>
          <w:color w:val="auto"/>
          <w:kern w:val="0"/>
          <w:szCs w:val="21"/>
        </w:rPr>
      </w:pPr>
      <w:r>
        <w:rPr>
          <w:rFonts w:hint="eastAsia" w:ascii="宋体" w:hAnsi="宋体" w:cs="微软雅黑"/>
          <w:color w:val="auto"/>
          <w:kern w:val="0"/>
          <w:szCs w:val="21"/>
        </w:rPr>
        <w:t>29.3联</w:t>
      </w:r>
      <w:r>
        <w:rPr>
          <w:rFonts w:hint="eastAsia" w:ascii="宋体" w:hAnsi="宋体" w:cs="微软雅黑"/>
          <w:color w:val="auto"/>
          <w:spacing w:val="-2"/>
          <w:kern w:val="0"/>
          <w:szCs w:val="21"/>
        </w:rPr>
        <w:t>合</w:t>
      </w:r>
      <w:r>
        <w:rPr>
          <w:rFonts w:hint="eastAsia" w:ascii="宋体" w:hAnsi="宋体" w:cs="微软雅黑"/>
          <w:color w:val="auto"/>
          <w:kern w:val="0"/>
          <w:szCs w:val="21"/>
        </w:rPr>
        <w:t>体</w:t>
      </w:r>
      <w:r>
        <w:rPr>
          <w:rFonts w:hint="eastAsia" w:ascii="宋体" w:hAnsi="宋体" w:cs="微软雅黑"/>
          <w:color w:val="auto"/>
          <w:spacing w:val="-2"/>
          <w:kern w:val="0"/>
          <w:szCs w:val="21"/>
        </w:rPr>
        <w:t>中</w:t>
      </w:r>
      <w:r>
        <w:rPr>
          <w:rFonts w:hint="eastAsia" w:ascii="宋体" w:hAnsi="宋体" w:cs="微软雅黑"/>
          <w:color w:val="auto"/>
          <w:kern w:val="0"/>
          <w:szCs w:val="21"/>
        </w:rPr>
        <w:t>标的</w:t>
      </w:r>
      <w:r>
        <w:rPr>
          <w:rFonts w:hint="eastAsia" w:ascii="宋体" w:hAnsi="宋体" w:cs="微软雅黑"/>
          <w:color w:val="auto"/>
          <w:spacing w:val="-14"/>
          <w:kern w:val="0"/>
          <w:szCs w:val="21"/>
        </w:rPr>
        <w:t>，</w:t>
      </w:r>
      <w:r>
        <w:rPr>
          <w:rFonts w:hint="eastAsia" w:ascii="宋体" w:hAnsi="宋体" w:cs="微软雅黑"/>
          <w:color w:val="auto"/>
          <w:kern w:val="0"/>
          <w:szCs w:val="21"/>
        </w:rPr>
        <w:t>联</w:t>
      </w:r>
      <w:r>
        <w:rPr>
          <w:rFonts w:hint="eastAsia" w:ascii="宋体" w:hAnsi="宋体" w:cs="微软雅黑"/>
          <w:color w:val="auto"/>
          <w:spacing w:val="-2"/>
          <w:kern w:val="0"/>
          <w:szCs w:val="21"/>
        </w:rPr>
        <w:t>合</w:t>
      </w:r>
      <w:r>
        <w:rPr>
          <w:rFonts w:hint="eastAsia" w:ascii="宋体" w:hAnsi="宋体" w:cs="微软雅黑"/>
          <w:color w:val="auto"/>
          <w:kern w:val="0"/>
          <w:szCs w:val="21"/>
        </w:rPr>
        <w:t>体各</w:t>
      </w:r>
      <w:r>
        <w:rPr>
          <w:rFonts w:hint="eastAsia" w:ascii="宋体" w:hAnsi="宋体" w:cs="微软雅黑"/>
          <w:color w:val="auto"/>
          <w:spacing w:val="-2"/>
          <w:kern w:val="0"/>
          <w:szCs w:val="21"/>
        </w:rPr>
        <w:t>方</w:t>
      </w:r>
      <w:r>
        <w:rPr>
          <w:rFonts w:hint="eastAsia" w:ascii="宋体" w:hAnsi="宋体" w:cs="微软雅黑"/>
          <w:color w:val="auto"/>
          <w:kern w:val="0"/>
          <w:szCs w:val="21"/>
        </w:rPr>
        <w:t>应</w:t>
      </w:r>
      <w:r>
        <w:rPr>
          <w:rFonts w:hint="eastAsia" w:ascii="宋体" w:hAnsi="宋体" w:cs="微软雅黑"/>
          <w:color w:val="auto"/>
          <w:spacing w:val="-2"/>
          <w:kern w:val="0"/>
          <w:szCs w:val="21"/>
        </w:rPr>
        <w:t>当</w:t>
      </w:r>
      <w:r>
        <w:rPr>
          <w:rFonts w:hint="eastAsia" w:ascii="宋体" w:hAnsi="宋体" w:cs="微软雅黑"/>
          <w:color w:val="auto"/>
          <w:kern w:val="0"/>
          <w:szCs w:val="21"/>
        </w:rPr>
        <w:t>共</w:t>
      </w:r>
      <w:r>
        <w:rPr>
          <w:rFonts w:hint="eastAsia" w:ascii="宋体" w:hAnsi="宋体" w:cs="微软雅黑"/>
          <w:color w:val="auto"/>
          <w:spacing w:val="-2"/>
          <w:kern w:val="0"/>
          <w:szCs w:val="21"/>
        </w:rPr>
        <w:t>同</w:t>
      </w:r>
      <w:r>
        <w:rPr>
          <w:rFonts w:hint="eastAsia" w:ascii="宋体" w:hAnsi="宋体" w:cs="微软雅黑"/>
          <w:color w:val="auto"/>
          <w:kern w:val="0"/>
          <w:szCs w:val="21"/>
        </w:rPr>
        <w:t>与</w:t>
      </w:r>
      <w:r>
        <w:rPr>
          <w:rFonts w:hint="eastAsia" w:ascii="宋体" w:hAnsi="宋体" w:cs="微软雅黑"/>
          <w:color w:val="auto"/>
          <w:spacing w:val="-2"/>
          <w:kern w:val="0"/>
          <w:szCs w:val="21"/>
        </w:rPr>
        <w:t>采购人</w:t>
      </w:r>
      <w:r>
        <w:rPr>
          <w:rFonts w:hint="eastAsia" w:ascii="宋体" w:hAnsi="宋体" w:cs="微软雅黑"/>
          <w:color w:val="auto"/>
          <w:kern w:val="0"/>
          <w:szCs w:val="21"/>
        </w:rPr>
        <w:t>签订</w:t>
      </w:r>
      <w:r>
        <w:rPr>
          <w:rFonts w:hint="eastAsia" w:ascii="宋体" w:hAnsi="宋体" w:cs="微软雅黑"/>
          <w:color w:val="auto"/>
          <w:spacing w:val="-2"/>
          <w:kern w:val="0"/>
          <w:szCs w:val="21"/>
        </w:rPr>
        <w:t>合</w:t>
      </w:r>
      <w:r>
        <w:rPr>
          <w:rFonts w:hint="eastAsia" w:ascii="宋体" w:hAnsi="宋体" w:cs="微软雅黑"/>
          <w:color w:val="auto"/>
          <w:kern w:val="0"/>
          <w:szCs w:val="21"/>
        </w:rPr>
        <w:t>同</w:t>
      </w:r>
      <w:r>
        <w:rPr>
          <w:rFonts w:hint="eastAsia" w:ascii="宋体" w:hAnsi="宋体" w:cs="微软雅黑"/>
          <w:color w:val="auto"/>
          <w:spacing w:val="-14"/>
          <w:kern w:val="0"/>
          <w:szCs w:val="21"/>
        </w:rPr>
        <w:t>，</w:t>
      </w:r>
      <w:r>
        <w:rPr>
          <w:rFonts w:hint="eastAsia" w:ascii="宋体" w:hAnsi="宋体" w:cs="微软雅黑"/>
          <w:color w:val="auto"/>
          <w:kern w:val="0"/>
          <w:szCs w:val="21"/>
        </w:rPr>
        <w:t>就</w:t>
      </w:r>
      <w:r>
        <w:rPr>
          <w:rFonts w:hint="eastAsia" w:ascii="宋体" w:hAnsi="宋体" w:cs="微软雅黑"/>
          <w:color w:val="auto"/>
          <w:spacing w:val="-2"/>
          <w:kern w:val="0"/>
          <w:szCs w:val="21"/>
        </w:rPr>
        <w:t>中</w:t>
      </w:r>
      <w:r>
        <w:rPr>
          <w:rFonts w:hint="eastAsia" w:ascii="宋体" w:hAnsi="宋体" w:cs="微软雅黑"/>
          <w:color w:val="auto"/>
          <w:kern w:val="0"/>
          <w:szCs w:val="21"/>
        </w:rPr>
        <w:t>标</w:t>
      </w:r>
      <w:r>
        <w:rPr>
          <w:rFonts w:hint="eastAsia" w:ascii="宋体" w:hAnsi="宋体" w:cs="微软雅黑"/>
          <w:color w:val="auto"/>
          <w:spacing w:val="-2"/>
          <w:kern w:val="0"/>
          <w:szCs w:val="21"/>
        </w:rPr>
        <w:t>项</w:t>
      </w:r>
      <w:r>
        <w:rPr>
          <w:rFonts w:hint="eastAsia" w:ascii="宋体" w:hAnsi="宋体" w:cs="微软雅黑"/>
          <w:color w:val="auto"/>
          <w:kern w:val="0"/>
          <w:szCs w:val="21"/>
        </w:rPr>
        <w:t>目</w:t>
      </w:r>
      <w:r>
        <w:rPr>
          <w:rFonts w:hint="eastAsia" w:ascii="宋体" w:hAnsi="宋体" w:cs="微软雅黑"/>
          <w:color w:val="auto"/>
          <w:spacing w:val="-2"/>
          <w:kern w:val="0"/>
          <w:szCs w:val="21"/>
        </w:rPr>
        <w:t>向</w:t>
      </w:r>
      <w:r>
        <w:rPr>
          <w:rFonts w:hint="eastAsia" w:ascii="宋体" w:hAnsi="宋体" w:cs="微软雅黑"/>
          <w:color w:val="auto"/>
          <w:kern w:val="0"/>
          <w:szCs w:val="21"/>
        </w:rPr>
        <w:t>采购人承</w:t>
      </w:r>
      <w:r>
        <w:rPr>
          <w:rFonts w:hint="eastAsia" w:ascii="宋体" w:hAnsi="宋体" w:cs="微软雅黑"/>
          <w:color w:val="auto"/>
          <w:spacing w:val="-2"/>
          <w:kern w:val="0"/>
          <w:szCs w:val="21"/>
        </w:rPr>
        <w:t>担</w:t>
      </w:r>
      <w:r>
        <w:rPr>
          <w:rFonts w:hint="eastAsia" w:ascii="宋体" w:hAnsi="宋体" w:cs="微软雅黑"/>
          <w:color w:val="auto"/>
          <w:kern w:val="0"/>
          <w:szCs w:val="21"/>
        </w:rPr>
        <w:t>连带责</w:t>
      </w:r>
      <w:r>
        <w:rPr>
          <w:rFonts w:hint="eastAsia" w:ascii="宋体" w:hAnsi="宋体" w:cs="微软雅黑"/>
          <w:color w:val="auto"/>
          <w:spacing w:val="-2"/>
          <w:kern w:val="0"/>
          <w:szCs w:val="21"/>
        </w:rPr>
        <w:t>任</w:t>
      </w:r>
      <w:r>
        <w:rPr>
          <w:rFonts w:hint="eastAsia" w:ascii="宋体" w:hAnsi="宋体" w:cs="微软雅黑"/>
          <w:color w:val="auto"/>
          <w:kern w:val="0"/>
          <w:szCs w:val="21"/>
        </w:rPr>
        <w:t>。</w:t>
      </w:r>
    </w:p>
    <w:p w14:paraId="5E91E2F4">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color w:val="auto"/>
          <w:szCs w:val="21"/>
        </w:rPr>
        <w:t>29.4中标人</w:t>
      </w:r>
      <w:r>
        <w:rPr>
          <w:rFonts w:hint="eastAsia" w:ascii="宋体" w:hAnsi="宋体"/>
          <w:bCs/>
          <w:color w:val="auto"/>
          <w:szCs w:val="21"/>
        </w:rPr>
        <w:t>应当按照合同约定依法履行合同义务。合同的履行、违约责任和解决争议的方法等适用《中华人民共和国民法典》。</w:t>
      </w:r>
    </w:p>
    <w:p w14:paraId="1EF3E8A3">
      <w:pPr>
        <w:adjustRightInd w:val="0"/>
        <w:snapToGrid w:val="0"/>
        <w:spacing w:beforeLines="50" w:line="360" w:lineRule="auto"/>
        <w:jc w:val="left"/>
        <w:rPr>
          <w:rFonts w:ascii="宋体" w:hAnsi="宋体"/>
          <w:b/>
          <w:bCs/>
          <w:color w:val="auto"/>
          <w:sz w:val="24"/>
        </w:rPr>
      </w:pPr>
      <w:r>
        <w:rPr>
          <w:rFonts w:hint="eastAsia" w:ascii="宋体" w:hAnsi="宋体"/>
          <w:b/>
          <w:bCs/>
          <w:color w:val="auto"/>
          <w:sz w:val="24"/>
        </w:rPr>
        <w:t>30.</w:t>
      </w:r>
      <w:r>
        <w:rPr>
          <w:rFonts w:hint="eastAsia" w:ascii="宋体" w:hAnsi="宋体"/>
          <w:b/>
          <w:color w:val="auto"/>
          <w:sz w:val="24"/>
        </w:rPr>
        <w:t xml:space="preserve"> 合同履行中</w:t>
      </w:r>
      <w:r>
        <w:rPr>
          <w:rFonts w:hint="eastAsia" w:ascii="宋体" w:hAnsi="宋体"/>
          <w:b/>
          <w:bCs/>
          <w:color w:val="auto"/>
          <w:sz w:val="24"/>
        </w:rPr>
        <w:t>数量的变更</w:t>
      </w:r>
    </w:p>
    <w:p w14:paraId="03732ABE">
      <w:pPr>
        <w:adjustRightInd w:val="0"/>
        <w:snapToGrid w:val="0"/>
        <w:spacing w:beforeLines="50" w:line="360" w:lineRule="auto"/>
        <w:ind w:firstLine="420" w:firstLineChars="200"/>
        <w:jc w:val="left"/>
        <w:rPr>
          <w:rFonts w:ascii="宋体" w:hAnsi="宋体"/>
          <w:color w:val="auto"/>
          <w:sz w:val="28"/>
          <w:szCs w:val="28"/>
        </w:rPr>
      </w:pPr>
      <w:r>
        <w:rPr>
          <w:rFonts w:hint="eastAsia" w:ascii="宋体" w:hAnsi="宋体"/>
          <w:color w:val="auto"/>
        </w:rPr>
        <w:t>30.1合同履行中，采购人需追加与合同标的相同的货物服务的，在不改变合同其他条款的前提下，可以与中标人协商签订补充合同，但所有补充合同的采购金额原则上不得超过原合同采购金额的百分之十。</w:t>
      </w:r>
    </w:p>
    <w:p w14:paraId="45597E11">
      <w:pPr>
        <w:pStyle w:val="14"/>
        <w:adjustRightInd w:val="0"/>
        <w:snapToGrid w:val="0"/>
        <w:spacing w:beforeLines="50" w:after="0" w:line="360" w:lineRule="auto"/>
        <w:jc w:val="center"/>
        <w:rPr>
          <w:rFonts w:ascii="黑体" w:hAnsi="黑体" w:eastAsia="黑体"/>
          <w:color w:val="auto"/>
          <w:sz w:val="28"/>
          <w:szCs w:val="28"/>
        </w:rPr>
      </w:pPr>
      <w:bookmarkStart w:id="28" w:name="_Toc13312"/>
      <w:r>
        <w:rPr>
          <w:rFonts w:hint="eastAsia" w:ascii="黑体" w:hAnsi="黑体" w:eastAsia="黑体"/>
          <w:color w:val="auto"/>
          <w:sz w:val="28"/>
          <w:szCs w:val="28"/>
        </w:rPr>
        <w:t>八、其他规定</w:t>
      </w:r>
      <w:bookmarkEnd w:id="28"/>
    </w:p>
    <w:p w14:paraId="5ED87B3E">
      <w:pPr>
        <w:adjustRightInd w:val="0"/>
        <w:snapToGrid w:val="0"/>
        <w:spacing w:beforeLines="50" w:line="360" w:lineRule="auto"/>
        <w:jc w:val="left"/>
        <w:rPr>
          <w:rFonts w:ascii="宋体" w:hAnsi="宋体"/>
          <w:b/>
          <w:color w:val="auto"/>
          <w:sz w:val="24"/>
        </w:rPr>
      </w:pPr>
      <w:r>
        <w:rPr>
          <w:rFonts w:hint="eastAsia" w:ascii="宋体" w:hAnsi="宋体"/>
          <w:b/>
          <w:bCs/>
          <w:color w:val="auto"/>
          <w:sz w:val="24"/>
        </w:rPr>
        <w:t>31.</w:t>
      </w:r>
      <w:r>
        <w:rPr>
          <w:rFonts w:hint="eastAsia" w:ascii="宋体" w:hAnsi="宋体"/>
          <w:color w:val="auto"/>
          <w:sz w:val="24"/>
        </w:rPr>
        <w:t xml:space="preserve"> </w:t>
      </w:r>
      <w:r>
        <w:rPr>
          <w:rFonts w:hint="eastAsia" w:ascii="宋体" w:hAnsi="宋体"/>
          <w:b/>
          <w:color w:val="auto"/>
          <w:sz w:val="24"/>
        </w:rPr>
        <w:t>招标不足三家处理</w:t>
      </w:r>
    </w:p>
    <w:p w14:paraId="3EADCF8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31.1投标截止后投标人不足3家或者通过资格审查或符合性审查的投标人不足3家的，除采购任务取消情形外，按照以下方式处理：</w:t>
      </w:r>
    </w:p>
    <w:p w14:paraId="3A4968B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（1）招标文件存在不合理条款或者招标程序不符合规定的，采购人改正后依法重新招标；</w:t>
      </w:r>
    </w:p>
    <w:p w14:paraId="1B747259">
      <w:pPr>
        <w:pStyle w:val="40"/>
        <w:widowControl w:val="0"/>
        <w:spacing w:line="360" w:lineRule="auto"/>
        <w:ind w:firstLine="420" w:firstLineChars="200"/>
        <w:rPr>
          <w:rFonts w:ascii="宋体" w:hAnsi="宋体"/>
          <w:color w:val="auto"/>
        </w:rPr>
      </w:pPr>
      <w:r>
        <w:rPr>
          <w:rFonts w:hint="eastAsia" w:ascii="宋体" w:hAnsi="宋体"/>
          <w:color w:val="auto"/>
        </w:rPr>
        <w:t>（2）招标文件没有不合理条款、招标程序符合规定，则再次组织询价比选活动；投标截止后再次出现投标人不足3家或者通过资格审查或符合性审查的投标人不足3家的，在本次参加询价比选活动中的投标人中择优确定，按投标报价由低到高顺序排列；得分且投标报价相同的，按技术服务指标优劣顺序排列；以上因素仍相同的，采取随机抽取的方式确定。</w:t>
      </w:r>
    </w:p>
    <w:p w14:paraId="267A50FC">
      <w:pPr>
        <w:adjustRightInd w:val="0"/>
        <w:snapToGrid w:val="0"/>
        <w:spacing w:beforeLines="50" w:line="360" w:lineRule="auto"/>
        <w:jc w:val="left"/>
        <w:rPr>
          <w:rFonts w:ascii="宋体" w:hAnsi="宋体"/>
          <w:b/>
          <w:color w:val="auto"/>
          <w:sz w:val="24"/>
        </w:rPr>
      </w:pPr>
      <w:r>
        <w:rPr>
          <w:rFonts w:hint="eastAsia" w:ascii="宋体" w:hAnsi="宋体"/>
          <w:b/>
          <w:bCs/>
          <w:color w:val="auto"/>
          <w:sz w:val="24"/>
        </w:rPr>
        <w:t>32.</w:t>
      </w:r>
      <w:r>
        <w:rPr>
          <w:rFonts w:hint="eastAsia" w:ascii="宋体" w:hAnsi="宋体"/>
          <w:b/>
          <w:color w:val="auto"/>
          <w:sz w:val="24"/>
        </w:rPr>
        <w:t xml:space="preserve"> 需要补充的其他内容</w:t>
      </w:r>
    </w:p>
    <w:p w14:paraId="17FAEFBB">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32.1合同价款支付</w:t>
      </w:r>
    </w:p>
    <w:p w14:paraId="204F2186">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（1）招标文件</w:t>
      </w:r>
      <w:r>
        <w:rPr>
          <w:rFonts w:hint="eastAsia" w:ascii="宋体" w:hAnsi="宋体"/>
          <w:bCs/>
          <w:color w:val="auto"/>
          <w:szCs w:val="21"/>
        </w:rPr>
        <w:t>规定支付合同预付款的，采购人应按</w:t>
      </w:r>
      <w:r>
        <w:rPr>
          <w:rFonts w:hint="eastAsia" w:ascii="宋体" w:hAnsi="宋体"/>
          <w:b/>
          <w:color w:val="auto"/>
          <w:szCs w:val="21"/>
        </w:rPr>
        <w:t>【投标须知前附表】</w:t>
      </w:r>
      <w:r>
        <w:rPr>
          <w:rFonts w:hint="eastAsia" w:ascii="宋体" w:hAnsi="宋体"/>
          <w:bCs/>
          <w:color w:val="auto"/>
          <w:szCs w:val="21"/>
        </w:rPr>
        <w:t>规定的支付比例和支付条件向符合要求的中标供应商及时支付相应款项，并在合同中进行明确。</w:t>
      </w:r>
    </w:p>
    <w:p w14:paraId="7EAACDD2">
      <w:pPr>
        <w:pStyle w:val="2"/>
        <w:ind w:firstLine="480"/>
        <w:rPr>
          <w:rFonts w:ascii="宋体" w:hAnsi="宋体"/>
          <w:bCs/>
          <w:color w:val="auto"/>
        </w:rPr>
      </w:pPr>
      <w:r>
        <w:rPr>
          <w:rFonts w:hint="eastAsia" w:ascii="宋体" w:hAnsi="宋体"/>
          <w:color w:val="auto"/>
        </w:rPr>
        <w:t>（2）招标文件</w:t>
      </w:r>
      <w:r>
        <w:rPr>
          <w:rFonts w:hint="eastAsia" w:ascii="宋体" w:hAnsi="宋体"/>
          <w:bCs/>
          <w:color w:val="auto"/>
        </w:rPr>
        <w:t>规定需提交质量保证金的，采购人可以按</w:t>
      </w:r>
      <w:r>
        <w:rPr>
          <w:rFonts w:hint="eastAsia" w:ascii="宋体" w:hAnsi="宋体"/>
          <w:b/>
          <w:color w:val="auto"/>
        </w:rPr>
        <w:t>【投标须知前附表】</w:t>
      </w:r>
      <w:r>
        <w:rPr>
          <w:rFonts w:hint="eastAsia" w:ascii="宋体" w:hAnsi="宋体"/>
          <w:bCs/>
          <w:color w:val="auto"/>
        </w:rPr>
        <w:t>规定要求中标供应商提交质量保证金，并在合同中进行明确。</w:t>
      </w:r>
    </w:p>
    <w:p w14:paraId="27A69D9B">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rPr>
        <w:t>32.2招标文件需要补充的其</w:t>
      </w:r>
      <w:r>
        <w:rPr>
          <w:rFonts w:hint="eastAsia" w:ascii="宋体" w:hAnsi="宋体"/>
          <w:color w:val="auto"/>
          <w:szCs w:val="21"/>
        </w:rPr>
        <w:t>他内容见</w:t>
      </w:r>
      <w:r>
        <w:rPr>
          <w:rFonts w:hint="eastAsia" w:ascii="宋体" w:hAnsi="宋体"/>
          <w:b/>
          <w:color w:val="auto"/>
          <w:szCs w:val="21"/>
        </w:rPr>
        <w:t>【投标须知前附表】</w:t>
      </w:r>
      <w:r>
        <w:rPr>
          <w:rFonts w:hint="eastAsia" w:ascii="宋体" w:hAnsi="宋体"/>
          <w:color w:val="auto"/>
          <w:szCs w:val="21"/>
        </w:rPr>
        <w:t>。</w:t>
      </w:r>
    </w:p>
    <w:p w14:paraId="482D6148">
      <w:pPr>
        <w:pStyle w:val="21"/>
        <w:rPr>
          <w:color w:val="auto"/>
        </w:rPr>
      </w:pPr>
      <w:r>
        <w:rPr>
          <w:color w:val="auto"/>
        </w:rPr>
        <w:br w:type="page"/>
      </w:r>
    </w:p>
    <w:p w14:paraId="4B0380D5">
      <w:pPr>
        <w:pStyle w:val="12"/>
        <w:spacing w:before="312" w:after="156"/>
        <w:rPr>
          <w:color w:val="auto"/>
        </w:rPr>
      </w:pPr>
      <w:bookmarkStart w:id="29" w:name="_Toc27780"/>
      <w:bookmarkStart w:id="30" w:name="_Toc6617"/>
      <w:bookmarkStart w:id="31" w:name="_Toc14320"/>
      <w:r>
        <w:rPr>
          <w:rFonts w:hint="eastAsia"/>
          <w:color w:val="auto"/>
        </w:rPr>
        <w:t>第三章 资格审查</w:t>
      </w:r>
      <w:bookmarkEnd w:id="29"/>
      <w:bookmarkEnd w:id="30"/>
      <w:bookmarkEnd w:id="31"/>
    </w:p>
    <w:p w14:paraId="6329C4F0">
      <w:pPr>
        <w:pStyle w:val="14"/>
        <w:adjustRightInd w:val="0"/>
        <w:snapToGrid w:val="0"/>
        <w:spacing w:beforeLines="50" w:after="0" w:line="360" w:lineRule="auto"/>
        <w:rPr>
          <w:rFonts w:ascii="黑体" w:hAnsi="黑体" w:eastAsia="黑体"/>
          <w:color w:val="auto"/>
          <w:sz w:val="24"/>
          <w:szCs w:val="24"/>
        </w:rPr>
      </w:pPr>
      <w:bookmarkStart w:id="32" w:name="_Toc4660"/>
      <w:r>
        <w:rPr>
          <w:rFonts w:hint="eastAsia" w:ascii="黑体" w:hAnsi="黑体" w:eastAsia="黑体"/>
          <w:color w:val="auto"/>
          <w:sz w:val="24"/>
          <w:szCs w:val="24"/>
        </w:rPr>
        <w:t>1．资格审查主体</w:t>
      </w:r>
      <w:bookmarkEnd w:id="32"/>
    </w:p>
    <w:p w14:paraId="03234EB1">
      <w:pPr>
        <w:adjustRightInd w:val="0"/>
        <w:snapToGrid w:val="0"/>
        <w:spacing w:beforeLines="50" w:line="360" w:lineRule="auto"/>
        <w:ind w:firstLine="417" w:firstLineChars="199"/>
        <w:jc w:val="left"/>
        <w:rPr>
          <w:rFonts w:ascii="宋体" w:hAnsi="宋体"/>
          <w:color w:val="auto"/>
          <w:szCs w:val="21"/>
        </w:rPr>
      </w:pPr>
      <w:r>
        <w:rPr>
          <w:rFonts w:hint="eastAsia" w:ascii="宋体" w:hAnsi="宋体"/>
          <w:color w:val="auto"/>
          <w:szCs w:val="21"/>
        </w:rPr>
        <w:t>1.1资格审查主体：由评标委员会开标后进行资格审查。</w:t>
      </w:r>
    </w:p>
    <w:p w14:paraId="65FB144B">
      <w:pPr>
        <w:pStyle w:val="14"/>
        <w:adjustRightInd w:val="0"/>
        <w:snapToGrid w:val="0"/>
        <w:spacing w:beforeLines="50" w:after="0" w:line="360" w:lineRule="auto"/>
        <w:rPr>
          <w:rFonts w:ascii="黑体" w:hAnsi="黑体" w:eastAsia="黑体"/>
          <w:color w:val="auto"/>
          <w:sz w:val="24"/>
          <w:szCs w:val="24"/>
        </w:rPr>
      </w:pPr>
      <w:bookmarkStart w:id="33" w:name="_Toc3232"/>
      <w:r>
        <w:rPr>
          <w:rFonts w:hint="eastAsia" w:ascii="黑体" w:hAnsi="黑体" w:eastAsia="黑体"/>
          <w:color w:val="auto"/>
          <w:sz w:val="24"/>
          <w:szCs w:val="24"/>
        </w:rPr>
        <w:t>2．资格审查</w:t>
      </w:r>
      <w:bookmarkEnd w:id="33"/>
    </w:p>
    <w:p w14:paraId="2BA1AFA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2.1资格审查依据法律法规和招标文件的规定，对投标文件中的资格证明文件、投标报价等进行审查，以确定投标供应商是否具备投标资格。</w:t>
      </w:r>
    </w:p>
    <w:p w14:paraId="75C16CD7">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2.2按本章附表1“资格审查表”所列审查项目及审查标准，对投标人资格进行审查。</w:t>
      </w:r>
    </w:p>
    <w:p w14:paraId="098FB202">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2.3在资格审查时，投标人存在下列情况之一的，资格审查不合格，其投标无效：</w:t>
      </w:r>
    </w:p>
    <w:p w14:paraId="5F80D2AA">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（1）不具备招标文件中规定的资格要求的，或提交的资格证明文件不符合招标文件要求的；</w:t>
      </w:r>
    </w:p>
    <w:p w14:paraId="32EB6637">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（2）联合体投标未提交联合体协议书，或未提交联合体各方资格证明文件的；</w:t>
      </w:r>
    </w:p>
    <w:p w14:paraId="560146E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（3）投标文件的资格证明文件未按照招标文件要求签署、盖章的；</w:t>
      </w:r>
    </w:p>
    <w:p w14:paraId="64273BF6">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（4）投标报价超过招标文件中规定的预算金额或者最高限价的；</w:t>
      </w:r>
    </w:p>
    <w:p w14:paraId="078A3351">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（5）法律、法规和招标文件规定的其他投标无效情形的。</w:t>
      </w:r>
    </w:p>
    <w:p w14:paraId="3647F4DF">
      <w:pPr>
        <w:pStyle w:val="14"/>
        <w:adjustRightInd w:val="0"/>
        <w:snapToGrid w:val="0"/>
        <w:spacing w:beforeLines="50" w:after="0" w:line="360" w:lineRule="auto"/>
        <w:rPr>
          <w:rFonts w:ascii="黑体" w:hAnsi="黑体" w:eastAsia="黑体"/>
          <w:color w:val="auto"/>
          <w:sz w:val="24"/>
          <w:szCs w:val="24"/>
        </w:rPr>
      </w:pPr>
      <w:bookmarkStart w:id="34" w:name="_Toc7157"/>
      <w:r>
        <w:rPr>
          <w:rFonts w:hint="eastAsia" w:ascii="黑体" w:hAnsi="黑体" w:eastAsia="黑体"/>
          <w:color w:val="auto"/>
          <w:sz w:val="24"/>
          <w:szCs w:val="24"/>
        </w:rPr>
        <w:t>3．资格审查结果</w:t>
      </w:r>
      <w:bookmarkEnd w:id="34"/>
    </w:p>
    <w:p w14:paraId="02F20A42">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3.1未通过资格审查的投标人，</w:t>
      </w:r>
      <w:r>
        <w:rPr>
          <w:rFonts w:hint="eastAsia"/>
          <w:color w:val="auto"/>
        </w:rPr>
        <w:t>将与比选结果等信息在招标公告发布的同一媒介公示1个工作日</w:t>
      </w:r>
      <w:r>
        <w:rPr>
          <w:color w:val="auto"/>
        </w:rPr>
        <w:t>。</w:t>
      </w:r>
    </w:p>
    <w:p w14:paraId="59537712">
      <w:pPr>
        <w:adjustRightInd w:val="0"/>
        <w:snapToGrid w:val="0"/>
        <w:spacing w:beforeLines="50" w:line="360" w:lineRule="auto"/>
        <w:ind w:firstLine="420" w:firstLineChars="200"/>
        <w:jc w:val="left"/>
        <w:rPr>
          <w:rFonts w:ascii="宋体" w:hAnsi="宋体"/>
          <w:color w:val="auto"/>
          <w:szCs w:val="21"/>
        </w:rPr>
      </w:pPr>
    </w:p>
    <w:p w14:paraId="5D6A949D">
      <w:pPr>
        <w:adjustRightInd w:val="0"/>
        <w:snapToGrid w:val="0"/>
        <w:spacing w:beforeLines="50" w:line="360" w:lineRule="auto"/>
        <w:jc w:val="left"/>
        <w:rPr>
          <w:rFonts w:ascii="华文中宋" w:hAnsi="华文中宋" w:eastAsia="华文中宋"/>
          <w:b/>
          <w:bCs/>
          <w:color w:val="auto"/>
          <w:sz w:val="10"/>
          <w:szCs w:val="10"/>
        </w:rPr>
      </w:pPr>
      <w:r>
        <w:rPr>
          <w:rFonts w:ascii="华文中宋" w:hAnsi="华文中宋" w:eastAsia="华文中宋"/>
          <w:color w:val="auto"/>
        </w:rPr>
        <w:br w:type="page"/>
      </w:r>
    </w:p>
    <w:p w14:paraId="4FF12631">
      <w:pPr>
        <w:pStyle w:val="15"/>
        <w:adjustRightInd w:val="0"/>
        <w:snapToGrid w:val="0"/>
        <w:spacing w:before="0" w:after="0" w:line="360" w:lineRule="auto"/>
        <w:rPr>
          <w:rFonts w:ascii="黑体" w:hAnsi="黑体" w:cs="黑体"/>
          <w:b w:val="0"/>
          <w:bCs w:val="0"/>
          <w:color w:val="auto"/>
          <w:sz w:val="21"/>
          <w:szCs w:val="21"/>
        </w:rPr>
      </w:pPr>
      <w:bookmarkStart w:id="35" w:name="_Toc14281"/>
      <w:r>
        <w:rPr>
          <w:rFonts w:hint="eastAsia" w:ascii="黑体" w:hAnsi="黑体" w:cs="黑体"/>
          <w:b w:val="0"/>
          <w:bCs w:val="0"/>
          <w:color w:val="auto"/>
          <w:sz w:val="21"/>
          <w:szCs w:val="21"/>
        </w:rPr>
        <w:t>附表1资格审查表</w:t>
      </w:r>
      <w:bookmarkEnd w:id="35"/>
    </w:p>
    <w:p w14:paraId="230C60F4">
      <w:pPr>
        <w:adjustRightInd w:val="0"/>
        <w:snapToGrid w:val="0"/>
        <w:spacing w:line="360" w:lineRule="auto"/>
        <w:jc w:val="center"/>
        <w:rPr>
          <w:rFonts w:ascii="黑体" w:hAnsi="黑体" w:eastAsia="黑体"/>
          <w:b/>
          <w:color w:val="auto"/>
          <w:sz w:val="28"/>
          <w:szCs w:val="28"/>
        </w:rPr>
      </w:pPr>
      <w:r>
        <w:rPr>
          <w:rFonts w:ascii="黑体" w:hAnsi="黑体" w:eastAsia="黑体"/>
          <w:b/>
          <w:color w:val="auto"/>
          <w:sz w:val="28"/>
          <w:szCs w:val="28"/>
        </w:rPr>
        <w:t>资格审查表</w:t>
      </w:r>
    </w:p>
    <w:p w14:paraId="33761A39">
      <w:pPr>
        <w:pStyle w:val="5"/>
        <w:rPr>
          <w:color w:val="auto"/>
        </w:rPr>
      </w:pPr>
    </w:p>
    <w:p w14:paraId="62372EEC">
      <w:pPr>
        <w:adjustRightInd w:val="0"/>
        <w:snapToGrid w:val="0"/>
        <w:spacing w:line="360" w:lineRule="auto"/>
        <w:rPr>
          <w:color w:val="auto"/>
        </w:rPr>
      </w:pPr>
      <w:r>
        <w:rPr>
          <w:rFonts w:hint="eastAsia" w:ascii="宋体" w:hAnsi="宋体"/>
          <w:color w:val="auto"/>
          <w:szCs w:val="21"/>
        </w:rPr>
        <w:t xml:space="preserve">  项目名称： </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31"/>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5506"/>
        <w:gridCol w:w="2871"/>
      </w:tblGrid>
      <w:tr w14:paraId="1CB366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ign w:val="center"/>
          </w:tcPr>
          <w:p w14:paraId="69A24C88">
            <w:pPr>
              <w:adjustRightInd w:val="0"/>
              <w:snapToGrid w:val="0"/>
              <w:spacing w:beforeLines="50" w:line="360" w:lineRule="auto"/>
              <w:jc w:val="center"/>
              <w:rPr>
                <w:rFonts w:ascii="宋体" w:hAnsi="宋体" w:cs="宋体"/>
                <w:b/>
                <w:color w:val="auto"/>
                <w:kern w:val="0"/>
                <w:szCs w:val="21"/>
              </w:rPr>
            </w:pPr>
            <w:r>
              <w:rPr>
                <w:rFonts w:hint="eastAsia" w:ascii="宋体" w:hAnsi="宋体" w:cs="宋体"/>
                <w:b/>
                <w:color w:val="auto"/>
                <w:kern w:val="0"/>
                <w:szCs w:val="21"/>
              </w:rPr>
              <w:t>序号</w:t>
            </w:r>
          </w:p>
        </w:tc>
        <w:tc>
          <w:tcPr>
            <w:tcW w:w="5506" w:type="dxa"/>
            <w:noWrap/>
            <w:vAlign w:val="center"/>
          </w:tcPr>
          <w:p w14:paraId="0D412761">
            <w:pPr>
              <w:adjustRightInd w:val="0"/>
              <w:snapToGrid w:val="0"/>
              <w:spacing w:beforeLines="50" w:line="360" w:lineRule="auto"/>
              <w:jc w:val="center"/>
              <w:rPr>
                <w:rFonts w:ascii="宋体" w:hAnsi="宋体" w:cs="宋体"/>
                <w:b/>
                <w:color w:val="auto"/>
                <w:kern w:val="0"/>
                <w:szCs w:val="21"/>
              </w:rPr>
            </w:pPr>
            <w:r>
              <w:rPr>
                <w:rFonts w:hint="eastAsia" w:ascii="宋体" w:hAnsi="宋体" w:cs="宋体"/>
                <w:b/>
                <w:color w:val="auto"/>
                <w:kern w:val="0"/>
                <w:szCs w:val="21"/>
              </w:rPr>
              <w:t>审查项目</w:t>
            </w:r>
          </w:p>
        </w:tc>
        <w:tc>
          <w:tcPr>
            <w:tcW w:w="2871" w:type="dxa"/>
            <w:noWrap/>
            <w:vAlign w:val="center"/>
          </w:tcPr>
          <w:p w14:paraId="71B2FBA3">
            <w:pPr>
              <w:adjustRightInd w:val="0"/>
              <w:snapToGrid w:val="0"/>
              <w:spacing w:beforeLines="50" w:line="360" w:lineRule="auto"/>
              <w:jc w:val="center"/>
              <w:rPr>
                <w:rFonts w:ascii="宋体" w:hAnsi="宋体" w:cs="宋体"/>
                <w:b/>
                <w:color w:val="auto"/>
                <w:kern w:val="0"/>
                <w:szCs w:val="21"/>
              </w:rPr>
            </w:pPr>
            <w:r>
              <w:rPr>
                <w:rFonts w:hint="eastAsia" w:ascii="宋体" w:hAnsi="宋体" w:cs="宋体"/>
                <w:b/>
                <w:color w:val="auto"/>
                <w:kern w:val="0"/>
                <w:szCs w:val="21"/>
              </w:rPr>
              <w:t>审查标准</w:t>
            </w:r>
          </w:p>
        </w:tc>
      </w:tr>
      <w:tr w14:paraId="515DD8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47EA597F">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5506" w:type="dxa"/>
            <w:noWrap/>
          </w:tcPr>
          <w:p w14:paraId="59AFBA47">
            <w:pPr>
              <w:tabs>
                <w:tab w:val="left" w:pos="4725"/>
              </w:tabs>
              <w:adjustRightInd w:val="0"/>
              <w:snapToGrid w:val="0"/>
              <w:spacing w:beforeLines="50" w:line="360" w:lineRule="auto"/>
              <w:jc w:val="left"/>
              <w:rPr>
                <w:rFonts w:ascii="宋体" w:hAnsi="宋体" w:cs="宋体"/>
                <w:color w:val="auto"/>
                <w:kern w:val="0"/>
                <w:szCs w:val="21"/>
              </w:rPr>
            </w:pPr>
            <w:r>
              <w:rPr>
                <w:rFonts w:hint="eastAsia" w:ascii="宋体" w:hAnsi="宋体"/>
                <w:color w:val="auto"/>
                <w:szCs w:val="21"/>
              </w:rPr>
              <w:t>法人或者其他组织的营业执照等主体资格证明文件，自然人的身份证明</w:t>
            </w:r>
          </w:p>
        </w:tc>
        <w:tc>
          <w:tcPr>
            <w:tcW w:w="2871" w:type="dxa"/>
            <w:noWrap/>
            <w:vAlign w:val="center"/>
          </w:tcPr>
          <w:p w14:paraId="7ED89431">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合格/不合格</w:t>
            </w:r>
          </w:p>
        </w:tc>
      </w:tr>
      <w:tr w14:paraId="793118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2500BC50">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5506" w:type="dxa"/>
            <w:noWrap/>
          </w:tcPr>
          <w:p w14:paraId="005135D5">
            <w:pPr>
              <w:tabs>
                <w:tab w:val="left" w:pos="4725"/>
              </w:tabs>
              <w:adjustRightInd w:val="0"/>
              <w:snapToGrid w:val="0"/>
              <w:spacing w:beforeLines="50" w:line="360" w:lineRule="auto"/>
              <w:jc w:val="left"/>
              <w:rPr>
                <w:rFonts w:ascii="宋体" w:hAnsi="宋体" w:cs="宋体"/>
                <w:color w:val="auto"/>
                <w:kern w:val="0"/>
                <w:szCs w:val="21"/>
              </w:rPr>
            </w:pPr>
            <w:r>
              <w:rPr>
                <w:rFonts w:hint="eastAsia" w:ascii="宋体" w:hAnsi="宋体"/>
                <w:color w:val="auto"/>
                <w:szCs w:val="21"/>
              </w:rPr>
              <w:t>湖南省政府采购供应商资格承诺函(格式)</w:t>
            </w:r>
          </w:p>
        </w:tc>
        <w:tc>
          <w:tcPr>
            <w:tcW w:w="2871" w:type="dxa"/>
            <w:noWrap/>
            <w:vAlign w:val="center"/>
          </w:tcPr>
          <w:p w14:paraId="62BFE256">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合格/不合格</w:t>
            </w:r>
          </w:p>
        </w:tc>
      </w:tr>
      <w:tr w14:paraId="7C4E2A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015162DB">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5506" w:type="dxa"/>
            <w:noWrap/>
          </w:tcPr>
          <w:p w14:paraId="57764C1F">
            <w:pPr>
              <w:tabs>
                <w:tab w:val="left" w:pos="4725"/>
              </w:tabs>
              <w:adjustRightInd w:val="0"/>
              <w:snapToGrid w:val="0"/>
              <w:spacing w:beforeLines="50" w:line="360" w:lineRule="auto"/>
              <w:jc w:val="left"/>
              <w:rPr>
                <w:rFonts w:ascii="宋体" w:hAnsi="宋体" w:cs="宋体"/>
                <w:color w:val="auto"/>
                <w:kern w:val="0"/>
                <w:szCs w:val="21"/>
              </w:rPr>
            </w:pPr>
            <w:r>
              <w:rPr>
                <w:rFonts w:hint="eastAsia" w:ascii="宋体" w:hAnsi="宋体"/>
                <w:color w:val="auto"/>
                <w:szCs w:val="21"/>
              </w:rPr>
              <w:t>符合特定资格条件证明材料复印件或者情况说明</w:t>
            </w:r>
          </w:p>
        </w:tc>
        <w:tc>
          <w:tcPr>
            <w:tcW w:w="2871" w:type="dxa"/>
            <w:noWrap/>
            <w:vAlign w:val="center"/>
          </w:tcPr>
          <w:p w14:paraId="796E17CA">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合格/不合格</w:t>
            </w:r>
          </w:p>
        </w:tc>
      </w:tr>
      <w:tr w14:paraId="3EE531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5FC4675F">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5506" w:type="dxa"/>
            <w:noWrap/>
          </w:tcPr>
          <w:p w14:paraId="5D1DA4F0">
            <w:pPr>
              <w:adjustRightInd w:val="0"/>
              <w:snapToGrid w:val="0"/>
              <w:spacing w:beforeLines="50" w:line="360" w:lineRule="auto"/>
              <w:jc w:val="left"/>
              <w:rPr>
                <w:rFonts w:ascii="宋体" w:hAnsi="宋体" w:cs="宋体"/>
                <w:color w:val="auto"/>
                <w:kern w:val="0"/>
                <w:szCs w:val="21"/>
              </w:rPr>
            </w:pPr>
            <w:r>
              <w:rPr>
                <w:rFonts w:hint="eastAsia" w:ascii="宋体" w:hAnsi="宋体"/>
                <w:color w:val="auto"/>
                <w:szCs w:val="21"/>
              </w:rPr>
              <w:t>联合体协议书（格式）（联合体形式投标的提供）</w:t>
            </w:r>
          </w:p>
        </w:tc>
        <w:tc>
          <w:tcPr>
            <w:tcW w:w="2871" w:type="dxa"/>
            <w:noWrap/>
            <w:vAlign w:val="center"/>
          </w:tcPr>
          <w:p w14:paraId="587C5E1E">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合格/不合格</w:t>
            </w:r>
          </w:p>
        </w:tc>
      </w:tr>
      <w:tr w14:paraId="6C3716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381EC4EC">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5506" w:type="dxa"/>
            <w:noWrap/>
            <w:tcMar>
              <w:top w:w="0" w:type="dxa"/>
              <w:left w:w="0" w:type="dxa"/>
              <w:bottom w:w="0" w:type="dxa"/>
              <w:right w:w="0" w:type="dxa"/>
            </w:tcMar>
          </w:tcPr>
          <w:p w14:paraId="4E7C51CD">
            <w:pPr>
              <w:adjustRightInd w:val="0"/>
              <w:snapToGrid w:val="0"/>
              <w:spacing w:beforeLines="50" w:line="360" w:lineRule="auto"/>
              <w:jc w:val="left"/>
              <w:rPr>
                <w:rFonts w:ascii="宋体" w:hAnsi="宋体" w:cs="宋体"/>
                <w:color w:val="auto"/>
                <w:kern w:val="0"/>
                <w:szCs w:val="21"/>
              </w:rPr>
            </w:pPr>
            <w:r>
              <w:rPr>
                <w:rFonts w:hint="eastAsia" w:ascii="宋体" w:hAnsi="宋体"/>
                <w:color w:val="auto"/>
                <w:szCs w:val="21"/>
              </w:rPr>
              <w:t>投标报价超过招标文件中规定的预算金额或者最高限价的</w:t>
            </w:r>
          </w:p>
        </w:tc>
        <w:tc>
          <w:tcPr>
            <w:tcW w:w="2871" w:type="dxa"/>
            <w:noWrap/>
            <w:vAlign w:val="center"/>
          </w:tcPr>
          <w:p w14:paraId="06FD690C">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合格/不合格</w:t>
            </w:r>
          </w:p>
        </w:tc>
      </w:tr>
      <w:tr w14:paraId="6D3DB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64411D5E">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5506" w:type="dxa"/>
            <w:noWrap/>
          </w:tcPr>
          <w:p w14:paraId="4408E8ED">
            <w:pPr>
              <w:adjustRightInd w:val="0"/>
              <w:snapToGrid w:val="0"/>
              <w:spacing w:beforeLines="50" w:line="360" w:lineRule="auto"/>
              <w:jc w:val="left"/>
              <w:rPr>
                <w:rFonts w:ascii="宋体" w:hAnsi="宋体" w:cs="宋体"/>
                <w:color w:val="auto"/>
                <w:kern w:val="0"/>
                <w:szCs w:val="21"/>
              </w:rPr>
            </w:pPr>
            <w:r>
              <w:rPr>
                <w:rFonts w:hint="eastAsia" w:ascii="宋体" w:hAnsi="宋体"/>
                <w:color w:val="auto"/>
                <w:szCs w:val="21"/>
              </w:rPr>
              <w:t>法律、法规和招标文件规定的其他投标无效情形的</w:t>
            </w:r>
          </w:p>
        </w:tc>
        <w:tc>
          <w:tcPr>
            <w:tcW w:w="2871" w:type="dxa"/>
            <w:noWrap/>
            <w:vAlign w:val="center"/>
          </w:tcPr>
          <w:p w14:paraId="213D5562">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合格/不合格</w:t>
            </w:r>
          </w:p>
        </w:tc>
      </w:tr>
      <w:tr w14:paraId="1C9D5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12372450">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5506" w:type="dxa"/>
            <w:noWrap/>
          </w:tcPr>
          <w:p w14:paraId="0D4712AF">
            <w:pPr>
              <w:adjustRightInd w:val="0"/>
              <w:snapToGrid w:val="0"/>
              <w:spacing w:beforeLines="50" w:line="360" w:lineRule="auto"/>
              <w:jc w:val="left"/>
              <w:rPr>
                <w:rFonts w:ascii="宋体" w:hAnsi="宋体" w:cs="宋体"/>
                <w:color w:val="auto"/>
                <w:kern w:val="0"/>
                <w:szCs w:val="21"/>
              </w:rPr>
            </w:pPr>
            <w:r>
              <w:rPr>
                <w:rFonts w:hint="eastAsia" w:ascii="宋体" w:hAnsi="宋体"/>
                <w:color w:val="auto"/>
                <w:kern w:val="0"/>
                <w:szCs w:val="21"/>
              </w:rPr>
              <w:t>不良信用记录查询</w:t>
            </w:r>
          </w:p>
        </w:tc>
        <w:tc>
          <w:tcPr>
            <w:tcW w:w="2871" w:type="dxa"/>
            <w:noWrap/>
            <w:vAlign w:val="center"/>
          </w:tcPr>
          <w:p w14:paraId="76814CBC">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合格/不合格</w:t>
            </w:r>
          </w:p>
        </w:tc>
      </w:tr>
      <w:tr w14:paraId="2963E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427D8D0B">
            <w:pPr>
              <w:adjustRightInd w:val="0"/>
              <w:snapToGrid w:val="0"/>
              <w:spacing w:beforeLines="50" w:line="360" w:lineRule="auto"/>
              <w:jc w:val="center"/>
              <w:rPr>
                <w:rFonts w:ascii="宋体" w:hAnsi="宋体"/>
                <w:color w:val="auto"/>
                <w:kern w:val="0"/>
                <w:szCs w:val="21"/>
              </w:rPr>
            </w:pPr>
            <w:r>
              <w:rPr>
                <w:rFonts w:hint="eastAsia" w:ascii="宋体" w:hAnsi="宋体"/>
                <w:color w:val="auto"/>
                <w:kern w:val="0"/>
                <w:szCs w:val="21"/>
              </w:rPr>
              <w:t>8</w:t>
            </w:r>
          </w:p>
        </w:tc>
        <w:tc>
          <w:tcPr>
            <w:tcW w:w="5506" w:type="dxa"/>
            <w:noWrap/>
          </w:tcPr>
          <w:p w14:paraId="4CBDC237">
            <w:pPr>
              <w:adjustRightInd w:val="0"/>
              <w:snapToGrid w:val="0"/>
              <w:spacing w:beforeLines="50" w:line="360" w:lineRule="auto"/>
              <w:jc w:val="left"/>
              <w:rPr>
                <w:rFonts w:ascii="宋体" w:hAnsi="宋体"/>
                <w:color w:val="auto"/>
                <w:kern w:val="0"/>
                <w:szCs w:val="21"/>
              </w:rPr>
            </w:pPr>
            <w:r>
              <w:rPr>
                <w:rFonts w:hint="eastAsia" w:ascii="宋体" w:hAnsi="宋体"/>
                <w:color w:val="auto"/>
                <w:kern w:val="0"/>
                <w:szCs w:val="21"/>
              </w:rPr>
              <w:t>资格证明文件的签署、盖章</w:t>
            </w:r>
          </w:p>
        </w:tc>
        <w:tc>
          <w:tcPr>
            <w:tcW w:w="2871" w:type="dxa"/>
            <w:noWrap/>
            <w:vAlign w:val="center"/>
          </w:tcPr>
          <w:p w14:paraId="29116929">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合格/不合格</w:t>
            </w:r>
          </w:p>
        </w:tc>
      </w:tr>
      <w:tr w14:paraId="62C9D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4E1FDC4F">
            <w:pPr>
              <w:adjustRightInd w:val="0"/>
              <w:snapToGrid w:val="0"/>
              <w:spacing w:beforeLines="50" w:line="360" w:lineRule="auto"/>
              <w:jc w:val="center"/>
              <w:rPr>
                <w:rFonts w:ascii="宋体" w:hAnsi="宋体"/>
                <w:color w:val="auto"/>
                <w:kern w:val="0"/>
                <w:szCs w:val="21"/>
              </w:rPr>
            </w:pPr>
            <w:r>
              <w:rPr>
                <w:rFonts w:hint="eastAsia" w:ascii="宋体" w:hAnsi="宋体"/>
                <w:color w:val="auto"/>
                <w:kern w:val="0"/>
                <w:szCs w:val="21"/>
              </w:rPr>
              <w:t>9</w:t>
            </w:r>
          </w:p>
        </w:tc>
        <w:tc>
          <w:tcPr>
            <w:tcW w:w="5506" w:type="dxa"/>
            <w:noWrap/>
          </w:tcPr>
          <w:p w14:paraId="5BDD8A89">
            <w:pPr>
              <w:adjustRightInd w:val="0"/>
              <w:snapToGrid w:val="0"/>
              <w:spacing w:beforeLines="50" w:line="360" w:lineRule="auto"/>
              <w:jc w:val="left"/>
              <w:rPr>
                <w:rFonts w:ascii="宋体" w:hAnsi="宋体"/>
                <w:color w:val="auto"/>
                <w:kern w:val="0"/>
                <w:szCs w:val="21"/>
              </w:rPr>
            </w:pPr>
            <w:r>
              <w:rPr>
                <w:rFonts w:hint="eastAsia" w:ascii="宋体" w:hAnsi="宋体"/>
                <w:color w:val="auto"/>
                <w:kern w:val="0"/>
                <w:szCs w:val="21"/>
              </w:rPr>
              <w:t>授权代表委托书（授权代表参加投标）及近3个月的社保缴纳证明</w:t>
            </w:r>
          </w:p>
        </w:tc>
        <w:tc>
          <w:tcPr>
            <w:tcW w:w="2871" w:type="dxa"/>
            <w:noWrap/>
            <w:vAlign w:val="center"/>
          </w:tcPr>
          <w:p w14:paraId="38641DB2">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合格/不合格</w:t>
            </w:r>
          </w:p>
        </w:tc>
      </w:tr>
      <w:tr w14:paraId="6F6C53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683" w:type="dxa"/>
            <w:noWrap/>
            <w:vAlign w:val="center"/>
          </w:tcPr>
          <w:p w14:paraId="7753E5D0">
            <w:pPr>
              <w:adjustRightInd w:val="0"/>
              <w:snapToGrid w:val="0"/>
              <w:spacing w:beforeLines="50" w:line="360" w:lineRule="auto"/>
              <w:jc w:val="center"/>
              <w:rPr>
                <w:rFonts w:ascii="宋体" w:hAnsi="宋体" w:cs="宋体"/>
                <w:color w:val="auto"/>
                <w:kern w:val="0"/>
                <w:sz w:val="20"/>
                <w:szCs w:val="21"/>
              </w:rPr>
            </w:pPr>
            <w:r>
              <w:rPr>
                <w:rFonts w:hint="eastAsia" w:ascii="宋体" w:hAnsi="宋体"/>
                <w:color w:val="auto"/>
                <w:kern w:val="0"/>
                <w:sz w:val="20"/>
                <w:szCs w:val="21"/>
              </w:rPr>
              <w:t>结论</w:t>
            </w:r>
          </w:p>
        </w:tc>
        <w:tc>
          <w:tcPr>
            <w:tcW w:w="8377" w:type="dxa"/>
            <w:gridSpan w:val="2"/>
            <w:noWrap/>
            <w:vAlign w:val="center"/>
          </w:tcPr>
          <w:p w14:paraId="553ADF5B">
            <w:pPr>
              <w:adjustRightInd w:val="0"/>
              <w:snapToGrid w:val="0"/>
              <w:spacing w:beforeLines="50" w:line="360" w:lineRule="auto"/>
              <w:rPr>
                <w:rFonts w:ascii="宋体" w:hAnsi="宋体" w:cs="宋体"/>
                <w:color w:val="auto"/>
                <w:kern w:val="0"/>
                <w:szCs w:val="21"/>
              </w:rPr>
            </w:pPr>
            <w:r>
              <w:rPr>
                <w:rFonts w:hint="eastAsia" w:ascii="宋体" w:hAnsi="宋体" w:cs="宋体"/>
                <w:color w:val="auto"/>
                <w:kern w:val="0"/>
                <w:szCs w:val="21"/>
              </w:rPr>
              <w:t>在资格审查结果一览表中汇总</w:t>
            </w:r>
          </w:p>
        </w:tc>
      </w:tr>
    </w:tbl>
    <w:p w14:paraId="5F5173EE">
      <w:pPr>
        <w:rPr>
          <w:color w:val="auto"/>
        </w:rPr>
      </w:pPr>
    </w:p>
    <w:p w14:paraId="15345A93">
      <w:pPr>
        <w:widowControl/>
        <w:jc w:val="left"/>
        <w:rPr>
          <w:rFonts w:ascii="黑体" w:hAnsi="黑体" w:eastAsia="黑体"/>
          <w:bCs/>
          <w:color w:val="auto"/>
          <w:szCs w:val="21"/>
        </w:rPr>
      </w:pPr>
      <w:r>
        <w:rPr>
          <w:rFonts w:ascii="黑体" w:hAnsi="黑体"/>
          <w:b/>
          <w:color w:val="auto"/>
          <w:szCs w:val="21"/>
        </w:rPr>
        <w:br w:type="page"/>
      </w:r>
    </w:p>
    <w:p w14:paraId="5ADF0569">
      <w:pPr>
        <w:pStyle w:val="15"/>
        <w:adjustRightInd w:val="0"/>
        <w:snapToGrid w:val="0"/>
        <w:spacing w:before="0" w:after="0" w:line="360" w:lineRule="auto"/>
        <w:rPr>
          <w:rFonts w:ascii="黑体" w:hAnsi="黑体"/>
          <w:b w:val="0"/>
          <w:color w:val="auto"/>
          <w:sz w:val="21"/>
          <w:szCs w:val="21"/>
        </w:rPr>
      </w:pPr>
      <w:bookmarkStart w:id="36" w:name="_Toc24421"/>
      <w:r>
        <w:rPr>
          <w:rFonts w:hint="eastAsia" w:ascii="黑体" w:hAnsi="黑体"/>
          <w:b w:val="0"/>
          <w:color w:val="auto"/>
          <w:sz w:val="21"/>
          <w:szCs w:val="21"/>
        </w:rPr>
        <w:t>附表2 资格审查结果一览表</w:t>
      </w:r>
      <w:bookmarkEnd w:id="36"/>
    </w:p>
    <w:p w14:paraId="39760579">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资格审查结果一览表</w:t>
      </w:r>
    </w:p>
    <w:p w14:paraId="58B36472">
      <w:pPr>
        <w:pStyle w:val="5"/>
        <w:rPr>
          <w:color w:val="auto"/>
        </w:rPr>
      </w:pPr>
    </w:p>
    <w:p w14:paraId="5C705F89">
      <w:pPr>
        <w:adjustRightInd w:val="0"/>
        <w:snapToGrid w:val="0"/>
        <w:spacing w:line="360" w:lineRule="auto"/>
        <w:rPr>
          <w:color w:val="auto"/>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31"/>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7DED30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ign w:val="center"/>
          </w:tcPr>
          <w:p w14:paraId="1B762B49">
            <w:pPr>
              <w:jc w:val="center"/>
              <w:rPr>
                <w:rFonts w:ascii="宋体" w:hAnsi="宋体"/>
                <w:b/>
                <w:color w:val="auto"/>
                <w:kern w:val="0"/>
                <w:szCs w:val="21"/>
              </w:rPr>
            </w:pPr>
            <w:r>
              <w:rPr>
                <w:rFonts w:hint="eastAsia" w:ascii="宋体" w:hAnsi="宋体"/>
                <w:b/>
                <w:color w:val="auto"/>
                <w:kern w:val="0"/>
                <w:szCs w:val="21"/>
              </w:rPr>
              <w:t>序号</w:t>
            </w:r>
          </w:p>
        </w:tc>
        <w:tc>
          <w:tcPr>
            <w:tcW w:w="2963" w:type="dxa"/>
            <w:noWrap/>
            <w:vAlign w:val="center"/>
          </w:tcPr>
          <w:p w14:paraId="2E5E9CFE">
            <w:pPr>
              <w:jc w:val="center"/>
              <w:rPr>
                <w:rFonts w:ascii="宋体" w:hAnsi="宋体"/>
                <w:b/>
                <w:color w:val="auto"/>
                <w:kern w:val="0"/>
                <w:szCs w:val="21"/>
              </w:rPr>
            </w:pPr>
            <w:r>
              <w:rPr>
                <w:rFonts w:hint="eastAsia" w:ascii="宋体" w:hAnsi="宋体"/>
                <w:b/>
                <w:color w:val="auto"/>
                <w:kern w:val="0"/>
                <w:szCs w:val="21"/>
              </w:rPr>
              <w:t>投标人名称</w:t>
            </w:r>
          </w:p>
        </w:tc>
        <w:tc>
          <w:tcPr>
            <w:tcW w:w="2439" w:type="dxa"/>
            <w:noWrap/>
            <w:vAlign w:val="center"/>
          </w:tcPr>
          <w:p w14:paraId="273CA0F9">
            <w:pPr>
              <w:jc w:val="center"/>
              <w:rPr>
                <w:rFonts w:ascii="宋体" w:hAnsi="宋体"/>
                <w:b/>
                <w:color w:val="auto"/>
                <w:kern w:val="0"/>
                <w:szCs w:val="21"/>
              </w:rPr>
            </w:pPr>
            <w:r>
              <w:rPr>
                <w:rFonts w:hint="eastAsia" w:ascii="宋体" w:hAnsi="宋体"/>
                <w:b/>
                <w:color w:val="auto"/>
                <w:kern w:val="0"/>
                <w:szCs w:val="21"/>
              </w:rPr>
              <w:t>资格审查结果</w:t>
            </w:r>
          </w:p>
          <w:p w14:paraId="37043F47">
            <w:pPr>
              <w:jc w:val="center"/>
              <w:rPr>
                <w:rFonts w:ascii="宋体" w:hAnsi="宋体"/>
                <w:b/>
                <w:color w:val="auto"/>
                <w:kern w:val="0"/>
                <w:szCs w:val="21"/>
              </w:rPr>
            </w:pPr>
            <w:r>
              <w:rPr>
                <w:rFonts w:hint="eastAsia" w:ascii="宋体" w:hAnsi="宋体"/>
                <w:b/>
                <w:color w:val="auto"/>
                <w:kern w:val="0"/>
                <w:szCs w:val="21"/>
              </w:rPr>
              <w:t>（合格/不合格）</w:t>
            </w:r>
          </w:p>
        </w:tc>
        <w:tc>
          <w:tcPr>
            <w:tcW w:w="2961" w:type="dxa"/>
            <w:noWrap/>
            <w:vAlign w:val="center"/>
          </w:tcPr>
          <w:p w14:paraId="438298B9">
            <w:pPr>
              <w:jc w:val="center"/>
              <w:rPr>
                <w:rFonts w:ascii="宋体" w:hAnsi="宋体"/>
                <w:b/>
                <w:color w:val="auto"/>
                <w:kern w:val="0"/>
                <w:szCs w:val="21"/>
              </w:rPr>
            </w:pPr>
            <w:r>
              <w:rPr>
                <w:rFonts w:hint="eastAsia" w:ascii="宋体" w:hAnsi="宋体"/>
                <w:b/>
                <w:color w:val="auto"/>
                <w:kern w:val="0"/>
                <w:szCs w:val="21"/>
              </w:rPr>
              <w:t>资格审查不合格原因</w:t>
            </w:r>
          </w:p>
        </w:tc>
      </w:tr>
      <w:tr w14:paraId="42D72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176962F6">
            <w:pPr>
              <w:adjustRightInd w:val="0"/>
              <w:snapToGrid w:val="0"/>
              <w:spacing w:line="360" w:lineRule="auto"/>
              <w:rPr>
                <w:rFonts w:ascii="宋体" w:hAnsi="宋体"/>
                <w:color w:val="auto"/>
                <w:kern w:val="0"/>
                <w:sz w:val="24"/>
              </w:rPr>
            </w:pPr>
          </w:p>
        </w:tc>
        <w:tc>
          <w:tcPr>
            <w:tcW w:w="2963" w:type="dxa"/>
            <w:noWrap/>
          </w:tcPr>
          <w:p w14:paraId="7EA10425">
            <w:pPr>
              <w:adjustRightInd w:val="0"/>
              <w:snapToGrid w:val="0"/>
              <w:spacing w:line="360" w:lineRule="auto"/>
              <w:rPr>
                <w:rFonts w:ascii="宋体" w:hAnsi="宋体"/>
                <w:color w:val="auto"/>
                <w:kern w:val="0"/>
                <w:sz w:val="24"/>
              </w:rPr>
            </w:pPr>
          </w:p>
        </w:tc>
        <w:tc>
          <w:tcPr>
            <w:tcW w:w="2439" w:type="dxa"/>
            <w:noWrap/>
          </w:tcPr>
          <w:p w14:paraId="46000183">
            <w:pPr>
              <w:adjustRightInd w:val="0"/>
              <w:snapToGrid w:val="0"/>
              <w:spacing w:line="360" w:lineRule="auto"/>
              <w:rPr>
                <w:rFonts w:ascii="宋体" w:hAnsi="宋体"/>
                <w:color w:val="auto"/>
                <w:kern w:val="0"/>
                <w:sz w:val="24"/>
              </w:rPr>
            </w:pPr>
          </w:p>
        </w:tc>
        <w:tc>
          <w:tcPr>
            <w:tcW w:w="2961" w:type="dxa"/>
            <w:noWrap/>
          </w:tcPr>
          <w:p w14:paraId="5C21AE69">
            <w:pPr>
              <w:adjustRightInd w:val="0"/>
              <w:snapToGrid w:val="0"/>
              <w:spacing w:line="360" w:lineRule="auto"/>
              <w:rPr>
                <w:rFonts w:ascii="宋体" w:hAnsi="宋体"/>
                <w:color w:val="auto"/>
                <w:kern w:val="0"/>
                <w:sz w:val="24"/>
              </w:rPr>
            </w:pPr>
          </w:p>
        </w:tc>
      </w:tr>
      <w:tr w14:paraId="5827E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3968FC48">
            <w:pPr>
              <w:adjustRightInd w:val="0"/>
              <w:snapToGrid w:val="0"/>
              <w:spacing w:line="360" w:lineRule="auto"/>
              <w:rPr>
                <w:rFonts w:ascii="宋体" w:hAnsi="宋体"/>
                <w:color w:val="auto"/>
                <w:kern w:val="0"/>
                <w:sz w:val="24"/>
              </w:rPr>
            </w:pPr>
          </w:p>
        </w:tc>
        <w:tc>
          <w:tcPr>
            <w:tcW w:w="2963" w:type="dxa"/>
            <w:noWrap/>
          </w:tcPr>
          <w:p w14:paraId="48A4BB0D">
            <w:pPr>
              <w:adjustRightInd w:val="0"/>
              <w:snapToGrid w:val="0"/>
              <w:spacing w:line="360" w:lineRule="auto"/>
              <w:rPr>
                <w:rFonts w:ascii="宋体" w:hAnsi="宋体"/>
                <w:color w:val="auto"/>
                <w:kern w:val="0"/>
                <w:sz w:val="24"/>
              </w:rPr>
            </w:pPr>
          </w:p>
        </w:tc>
        <w:tc>
          <w:tcPr>
            <w:tcW w:w="2439" w:type="dxa"/>
            <w:noWrap/>
          </w:tcPr>
          <w:p w14:paraId="08DF424C">
            <w:pPr>
              <w:adjustRightInd w:val="0"/>
              <w:snapToGrid w:val="0"/>
              <w:spacing w:line="360" w:lineRule="auto"/>
              <w:rPr>
                <w:rFonts w:ascii="宋体" w:hAnsi="宋体"/>
                <w:color w:val="auto"/>
                <w:kern w:val="0"/>
                <w:sz w:val="24"/>
              </w:rPr>
            </w:pPr>
          </w:p>
        </w:tc>
        <w:tc>
          <w:tcPr>
            <w:tcW w:w="2961" w:type="dxa"/>
            <w:noWrap/>
          </w:tcPr>
          <w:p w14:paraId="41138AFE">
            <w:pPr>
              <w:adjustRightInd w:val="0"/>
              <w:snapToGrid w:val="0"/>
              <w:spacing w:line="360" w:lineRule="auto"/>
              <w:rPr>
                <w:rFonts w:ascii="宋体" w:hAnsi="宋体"/>
                <w:color w:val="auto"/>
                <w:kern w:val="0"/>
                <w:sz w:val="24"/>
              </w:rPr>
            </w:pPr>
          </w:p>
        </w:tc>
      </w:tr>
      <w:tr w14:paraId="14934D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419A6F27">
            <w:pPr>
              <w:adjustRightInd w:val="0"/>
              <w:snapToGrid w:val="0"/>
              <w:spacing w:line="360" w:lineRule="auto"/>
              <w:rPr>
                <w:rFonts w:ascii="宋体" w:hAnsi="宋体"/>
                <w:color w:val="auto"/>
                <w:kern w:val="0"/>
                <w:sz w:val="24"/>
              </w:rPr>
            </w:pPr>
          </w:p>
        </w:tc>
        <w:tc>
          <w:tcPr>
            <w:tcW w:w="2963" w:type="dxa"/>
            <w:noWrap/>
          </w:tcPr>
          <w:p w14:paraId="666D01CC">
            <w:pPr>
              <w:adjustRightInd w:val="0"/>
              <w:snapToGrid w:val="0"/>
              <w:spacing w:line="360" w:lineRule="auto"/>
              <w:rPr>
                <w:rFonts w:ascii="宋体" w:hAnsi="宋体"/>
                <w:color w:val="auto"/>
                <w:kern w:val="0"/>
                <w:sz w:val="24"/>
              </w:rPr>
            </w:pPr>
          </w:p>
        </w:tc>
        <w:tc>
          <w:tcPr>
            <w:tcW w:w="2439" w:type="dxa"/>
            <w:noWrap/>
          </w:tcPr>
          <w:p w14:paraId="4B0A1A87">
            <w:pPr>
              <w:adjustRightInd w:val="0"/>
              <w:snapToGrid w:val="0"/>
              <w:spacing w:line="360" w:lineRule="auto"/>
              <w:rPr>
                <w:rFonts w:ascii="宋体" w:hAnsi="宋体"/>
                <w:color w:val="auto"/>
                <w:kern w:val="0"/>
                <w:sz w:val="24"/>
              </w:rPr>
            </w:pPr>
          </w:p>
        </w:tc>
        <w:tc>
          <w:tcPr>
            <w:tcW w:w="2961" w:type="dxa"/>
            <w:noWrap/>
          </w:tcPr>
          <w:p w14:paraId="25EA7CB1">
            <w:pPr>
              <w:adjustRightInd w:val="0"/>
              <w:snapToGrid w:val="0"/>
              <w:spacing w:line="360" w:lineRule="auto"/>
              <w:rPr>
                <w:rFonts w:ascii="宋体" w:hAnsi="宋体"/>
                <w:color w:val="auto"/>
                <w:kern w:val="0"/>
                <w:sz w:val="24"/>
              </w:rPr>
            </w:pPr>
          </w:p>
        </w:tc>
      </w:tr>
      <w:tr w14:paraId="02206B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23E10AAC">
            <w:pPr>
              <w:adjustRightInd w:val="0"/>
              <w:snapToGrid w:val="0"/>
              <w:spacing w:line="360" w:lineRule="auto"/>
              <w:rPr>
                <w:rFonts w:ascii="宋体" w:hAnsi="宋体"/>
                <w:color w:val="auto"/>
                <w:kern w:val="0"/>
                <w:sz w:val="24"/>
              </w:rPr>
            </w:pPr>
          </w:p>
        </w:tc>
        <w:tc>
          <w:tcPr>
            <w:tcW w:w="2963" w:type="dxa"/>
            <w:noWrap/>
          </w:tcPr>
          <w:p w14:paraId="2571AF0D">
            <w:pPr>
              <w:adjustRightInd w:val="0"/>
              <w:snapToGrid w:val="0"/>
              <w:spacing w:line="360" w:lineRule="auto"/>
              <w:rPr>
                <w:rFonts w:ascii="宋体" w:hAnsi="宋体"/>
                <w:color w:val="auto"/>
                <w:kern w:val="0"/>
                <w:sz w:val="24"/>
              </w:rPr>
            </w:pPr>
          </w:p>
        </w:tc>
        <w:tc>
          <w:tcPr>
            <w:tcW w:w="2439" w:type="dxa"/>
            <w:noWrap/>
          </w:tcPr>
          <w:p w14:paraId="12678005">
            <w:pPr>
              <w:adjustRightInd w:val="0"/>
              <w:snapToGrid w:val="0"/>
              <w:spacing w:line="360" w:lineRule="auto"/>
              <w:rPr>
                <w:rFonts w:ascii="宋体" w:hAnsi="宋体"/>
                <w:color w:val="auto"/>
                <w:kern w:val="0"/>
                <w:sz w:val="24"/>
              </w:rPr>
            </w:pPr>
          </w:p>
        </w:tc>
        <w:tc>
          <w:tcPr>
            <w:tcW w:w="2961" w:type="dxa"/>
            <w:noWrap/>
          </w:tcPr>
          <w:p w14:paraId="14BDE2B0">
            <w:pPr>
              <w:adjustRightInd w:val="0"/>
              <w:snapToGrid w:val="0"/>
              <w:spacing w:line="360" w:lineRule="auto"/>
              <w:rPr>
                <w:rFonts w:ascii="宋体" w:hAnsi="宋体"/>
                <w:color w:val="auto"/>
                <w:kern w:val="0"/>
                <w:sz w:val="24"/>
              </w:rPr>
            </w:pPr>
          </w:p>
        </w:tc>
      </w:tr>
      <w:tr w14:paraId="6DB0F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641C6A35">
            <w:pPr>
              <w:adjustRightInd w:val="0"/>
              <w:snapToGrid w:val="0"/>
              <w:spacing w:line="360" w:lineRule="auto"/>
              <w:rPr>
                <w:rFonts w:ascii="宋体" w:hAnsi="宋体"/>
                <w:color w:val="auto"/>
                <w:kern w:val="0"/>
                <w:sz w:val="24"/>
              </w:rPr>
            </w:pPr>
          </w:p>
        </w:tc>
        <w:tc>
          <w:tcPr>
            <w:tcW w:w="2963" w:type="dxa"/>
            <w:noWrap/>
          </w:tcPr>
          <w:p w14:paraId="2E32C336">
            <w:pPr>
              <w:adjustRightInd w:val="0"/>
              <w:snapToGrid w:val="0"/>
              <w:spacing w:line="360" w:lineRule="auto"/>
              <w:rPr>
                <w:rFonts w:ascii="宋体" w:hAnsi="宋体"/>
                <w:color w:val="auto"/>
                <w:kern w:val="0"/>
                <w:sz w:val="24"/>
              </w:rPr>
            </w:pPr>
          </w:p>
        </w:tc>
        <w:tc>
          <w:tcPr>
            <w:tcW w:w="2439" w:type="dxa"/>
            <w:noWrap/>
          </w:tcPr>
          <w:p w14:paraId="0AE1A45B">
            <w:pPr>
              <w:adjustRightInd w:val="0"/>
              <w:snapToGrid w:val="0"/>
              <w:spacing w:line="360" w:lineRule="auto"/>
              <w:rPr>
                <w:rFonts w:ascii="宋体" w:hAnsi="宋体"/>
                <w:color w:val="auto"/>
                <w:kern w:val="0"/>
                <w:sz w:val="24"/>
              </w:rPr>
            </w:pPr>
          </w:p>
        </w:tc>
        <w:tc>
          <w:tcPr>
            <w:tcW w:w="2961" w:type="dxa"/>
            <w:noWrap/>
          </w:tcPr>
          <w:p w14:paraId="24EC4CBB">
            <w:pPr>
              <w:adjustRightInd w:val="0"/>
              <w:snapToGrid w:val="0"/>
              <w:spacing w:line="360" w:lineRule="auto"/>
              <w:rPr>
                <w:rFonts w:ascii="宋体" w:hAnsi="宋体"/>
                <w:color w:val="auto"/>
                <w:kern w:val="0"/>
                <w:sz w:val="24"/>
              </w:rPr>
            </w:pPr>
          </w:p>
        </w:tc>
      </w:tr>
      <w:tr w14:paraId="7B025E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399B7BAE">
            <w:pPr>
              <w:adjustRightInd w:val="0"/>
              <w:snapToGrid w:val="0"/>
              <w:spacing w:line="360" w:lineRule="auto"/>
              <w:rPr>
                <w:rFonts w:ascii="宋体" w:hAnsi="宋体"/>
                <w:color w:val="auto"/>
                <w:kern w:val="0"/>
                <w:sz w:val="24"/>
              </w:rPr>
            </w:pPr>
          </w:p>
        </w:tc>
        <w:tc>
          <w:tcPr>
            <w:tcW w:w="2963" w:type="dxa"/>
            <w:noWrap/>
          </w:tcPr>
          <w:p w14:paraId="59CACE5F">
            <w:pPr>
              <w:adjustRightInd w:val="0"/>
              <w:snapToGrid w:val="0"/>
              <w:spacing w:line="360" w:lineRule="auto"/>
              <w:rPr>
                <w:rFonts w:ascii="宋体" w:hAnsi="宋体"/>
                <w:color w:val="auto"/>
                <w:kern w:val="0"/>
                <w:sz w:val="24"/>
              </w:rPr>
            </w:pPr>
          </w:p>
        </w:tc>
        <w:tc>
          <w:tcPr>
            <w:tcW w:w="2439" w:type="dxa"/>
            <w:noWrap/>
          </w:tcPr>
          <w:p w14:paraId="158D5218">
            <w:pPr>
              <w:adjustRightInd w:val="0"/>
              <w:snapToGrid w:val="0"/>
              <w:spacing w:line="360" w:lineRule="auto"/>
              <w:rPr>
                <w:rFonts w:ascii="宋体" w:hAnsi="宋体"/>
                <w:color w:val="auto"/>
                <w:kern w:val="0"/>
                <w:sz w:val="24"/>
              </w:rPr>
            </w:pPr>
          </w:p>
        </w:tc>
        <w:tc>
          <w:tcPr>
            <w:tcW w:w="2961" w:type="dxa"/>
            <w:noWrap/>
          </w:tcPr>
          <w:p w14:paraId="2C65B301">
            <w:pPr>
              <w:adjustRightInd w:val="0"/>
              <w:snapToGrid w:val="0"/>
              <w:spacing w:line="360" w:lineRule="auto"/>
              <w:rPr>
                <w:rFonts w:ascii="宋体" w:hAnsi="宋体"/>
                <w:color w:val="auto"/>
                <w:kern w:val="0"/>
                <w:sz w:val="24"/>
              </w:rPr>
            </w:pPr>
          </w:p>
        </w:tc>
      </w:tr>
      <w:tr w14:paraId="1B4A77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57CE8440">
            <w:pPr>
              <w:adjustRightInd w:val="0"/>
              <w:snapToGrid w:val="0"/>
              <w:spacing w:line="360" w:lineRule="auto"/>
              <w:rPr>
                <w:rFonts w:ascii="宋体" w:hAnsi="宋体"/>
                <w:color w:val="auto"/>
                <w:kern w:val="0"/>
                <w:sz w:val="24"/>
              </w:rPr>
            </w:pPr>
          </w:p>
        </w:tc>
        <w:tc>
          <w:tcPr>
            <w:tcW w:w="2963" w:type="dxa"/>
            <w:noWrap/>
          </w:tcPr>
          <w:p w14:paraId="25346606">
            <w:pPr>
              <w:adjustRightInd w:val="0"/>
              <w:snapToGrid w:val="0"/>
              <w:spacing w:line="360" w:lineRule="auto"/>
              <w:rPr>
                <w:rFonts w:ascii="宋体" w:hAnsi="宋体"/>
                <w:color w:val="auto"/>
                <w:kern w:val="0"/>
                <w:sz w:val="24"/>
              </w:rPr>
            </w:pPr>
          </w:p>
        </w:tc>
        <w:tc>
          <w:tcPr>
            <w:tcW w:w="2439" w:type="dxa"/>
            <w:noWrap/>
          </w:tcPr>
          <w:p w14:paraId="597C572E">
            <w:pPr>
              <w:adjustRightInd w:val="0"/>
              <w:snapToGrid w:val="0"/>
              <w:spacing w:line="360" w:lineRule="auto"/>
              <w:rPr>
                <w:rFonts w:ascii="宋体" w:hAnsi="宋体"/>
                <w:color w:val="auto"/>
                <w:kern w:val="0"/>
                <w:sz w:val="24"/>
              </w:rPr>
            </w:pPr>
          </w:p>
        </w:tc>
        <w:tc>
          <w:tcPr>
            <w:tcW w:w="2961" w:type="dxa"/>
            <w:noWrap/>
          </w:tcPr>
          <w:p w14:paraId="240971ED">
            <w:pPr>
              <w:adjustRightInd w:val="0"/>
              <w:snapToGrid w:val="0"/>
              <w:spacing w:line="360" w:lineRule="auto"/>
              <w:rPr>
                <w:rFonts w:ascii="宋体" w:hAnsi="宋体"/>
                <w:color w:val="auto"/>
                <w:kern w:val="0"/>
                <w:sz w:val="24"/>
              </w:rPr>
            </w:pPr>
          </w:p>
        </w:tc>
      </w:tr>
      <w:tr w14:paraId="0CCB22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69982D57">
            <w:pPr>
              <w:adjustRightInd w:val="0"/>
              <w:snapToGrid w:val="0"/>
              <w:spacing w:line="360" w:lineRule="auto"/>
              <w:rPr>
                <w:rFonts w:ascii="宋体" w:hAnsi="宋体"/>
                <w:color w:val="auto"/>
                <w:kern w:val="0"/>
                <w:sz w:val="24"/>
              </w:rPr>
            </w:pPr>
          </w:p>
        </w:tc>
        <w:tc>
          <w:tcPr>
            <w:tcW w:w="2963" w:type="dxa"/>
            <w:noWrap/>
          </w:tcPr>
          <w:p w14:paraId="2ACE918A">
            <w:pPr>
              <w:adjustRightInd w:val="0"/>
              <w:snapToGrid w:val="0"/>
              <w:spacing w:line="360" w:lineRule="auto"/>
              <w:rPr>
                <w:rFonts w:ascii="宋体" w:hAnsi="宋体"/>
                <w:color w:val="auto"/>
                <w:kern w:val="0"/>
                <w:sz w:val="24"/>
              </w:rPr>
            </w:pPr>
          </w:p>
        </w:tc>
        <w:tc>
          <w:tcPr>
            <w:tcW w:w="2439" w:type="dxa"/>
            <w:noWrap/>
          </w:tcPr>
          <w:p w14:paraId="52359323">
            <w:pPr>
              <w:adjustRightInd w:val="0"/>
              <w:snapToGrid w:val="0"/>
              <w:spacing w:line="360" w:lineRule="auto"/>
              <w:rPr>
                <w:rFonts w:ascii="宋体" w:hAnsi="宋体"/>
                <w:color w:val="auto"/>
                <w:kern w:val="0"/>
                <w:sz w:val="24"/>
              </w:rPr>
            </w:pPr>
          </w:p>
        </w:tc>
        <w:tc>
          <w:tcPr>
            <w:tcW w:w="2961" w:type="dxa"/>
            <w:noWrap/>
          </w:tcPr>
          <w:p w14:paraId="4BE89E9A">
            <w:pPr>
              <w:adjustRightInd w:val="0"/>
              <w:snapToGrid w:val="0"/>
              <w:spacing w:line="360" w:lineRule="auto"/>
              <w:rPr>
                <w:rFonts w:ascii="宋体" w:hAnsi="宋体"/>
                <w:color w:val="auto"/>
                <w:kern w:val="0"/>
                <w:sz w:val="24"/>
              </w:rPr>
            </w:pPr>
          </w:p>
        </w:tc>
      </w:tr>
      <w:tr w14:paraId="3BAE06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0E12F09E">
            <w:pPr>
              <w:adjustRightInd w:val="0"/>
              <w:snapToGrid w:val="0"/>
              <w:spacing w:line="360" w:lineRule="auto"/>
              <w:rPr>
                <w:rFonts w:ascii="宋体" w:hAnsi="宋体"/>
                <w:color w:val="auto"/>
                <w:kern w:val="0"/>
                <w:sz w:val="24"/>
              </w:rPr>
            </w:pPr>
          </w:p>
        </w:tc>
        <w:tc>
          <w:tcPr>
            <w:tcW w:w="2963" w:type="dxa"/>
            <w:noWrap/>
          </w:tcPr>
          <w:p w14:paraId="0ADC348B">
            <w:pPr>
              <w:adjustRightInd w:val="0"/>
              <w:snapToGrid w:val="0"/>
              <w:spacing w:line="360" w:lineRule="auto"/>
              <w:rPr>
                <w:rFonts w:ascii="宋体" w:hAnsi="宋体"/>
                <w:color w:val="auto"/>
                <w:kern w:val="0"/>
                <w:sz w:val="24"/>
              </w:rPr>
            </w:pPr>
          </w:p>
        </w:tc>
        <w:tc>
          <w:tcPr>
            <w:tcW w:w="2439" w:type="dxa"/>
            <w:noWrap/>
          </w:tcPr>
          <w:p w14:paraId="440C9941">
            <w:pPr>
              <w:adjustRightInd w:val="0"/>
              <w:snapToGrid w:val="0"/>
              <w:spacing w:line="360" w:lineRule="auto"/>
              <w:rPr>
                <w:rFonts w:ascii="宋体" w:hAnsi="宋体"/>
                <w:color w:val="auto"/>
                <w:kern w:val="0"/>
                <w:sz w:val="24"/>
              </w:rPr>
            </w:pPr>
          </w:p>
        </w:tc>
        <w:tc>
          <w:tcPr>
            <w:tcW w:w="2961" w:type="dxa"/>
            <w:noWrap/>
          </w:tcPr>
          <w:p w14:paraId="22405277">
            <w:pPr>
              <w:adjustRightInd w:val="0"/>
              <w:snapToGrid w:val="0"/>
              <w:spacing w:line="360" w:lineRule="auto"/>
              <w:rPr>
                <w:rFonts w:ascii="宋体" w:hAnsi="宋体"/>
                <w:color w:val="auto"/>
                <w:kern w:val="0"/>
                <w:sz w:val="24"/>
              </w:rPr>
            </w:pPr>
          </w:p>
        </w:tc>
      </w:tr>
    </w:tbl>
    <w:p w14:paraId="6A84404C">
      <w:pPr>
        <w:adjustRightInd w:val="0"/>
        <w:snapToGrid w:val="0"/>
        <w:spacing w:line="360" w:lineRule="auto"/>
        <w:rPr>
          <w:rFonts w:ascii="宋体" w:hAnsi="宋体"/>
          <w:color w:val="auto"/>
          <w:szCs w:val="21"/>
        </w:rPr>
      </w:pPr>
    </w:p>
    <w:p w14:paraId="01C7B008">
      <w:pPr>
        <w:adjustRightInd w:val="0"/>
        <w:snapToGrid w:val="0"/>
        <w:spacing w:line="360" w:lineRule="auto"/>
        <w:rPr>
          <w:rFonts w:ascii="宋体" w:hAnsi="宋体"/>
          <w:color w:val="auto"/>
          <w:szCs w:val="21"/>
        </w:rPr>
      </w:pPr>
      <w:r>
        <w:rPr>
          <w:rFonts w:hint="eastAsia" w:ascii="宋体" w:hAnsi="宋体"/>
          <w:color w:val="auto"/>
          <w:szCs w:val="21"/>
        </w:rPr>
        <w:t>采购人（签字）：</w:t>
      </w:r>
      <w:r>
        <w:rPr>
          <w:rFonts w:hint="eastAsia" w:ascii="宋体" w:hAnsi="宋体"/>
          <w:color w:val="auto"/>
          <w:szCs w:val="21"/>
          <w:u w:val="single"/>
        </w:rPr>
        <w:t xml:space="preserve">          </w:t>
      </w:r>
      <w:r>
        <w:rPr>
          <w:rFonts w:hint="eastAsia" w:ascii="宋体" w:hAnsi="宋体"/>
          <w:color w:val="auto"/>
          <w:szCs w:val="21"/>
        </w:rPr>
        <w:t xml:space="preserve">                       </w:t>
      </w:r>
    </w:p>
    <w:p w14:paraId="3C7308AF">
      <w:pPr>
        <w:adjustRightInd w:val="0"/>
        <w:snapToGrid w:val="0"/>
        <w:spacing w:line="360" w:lineRule="auto"/>
        <w:rPr>
          <w:rFonts w:ascii="宋体" w:hAnsi="宋体"/>
          <w:color w:val="auto"/>
          <w:szCs w:val="21"/>
        </w:rPr>
      </w:pPr>
      <w:r>
        <w:rPr>
          <w:rFonts w:hint="eastAsia" w:ascii="宋体" w:hAnsi="宋体"/>
          <w:color w:val="auto"/>
          <w:szCs w:val="21"/>
        </w:rPr>
        <w:t xml:space="preserve">                              </w:t>
      </w:r>
    </w:p>
    <w:p w14:paraId="1BFE55FB">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48003697">
      <w:pPr>
        <w:widowControl/>
        <w:jc w:val="left"/>
        <w:rPr>
          <w:rFonts w:ascii="宋体" w:hAnsi="宋体"/>
          <w:color w:val="auto"/>
          <w:sz w:val="24"/>
        </w:rPr>
      </w:pPr>
      <w:r>
        <w:rPr>
          <w:rFonts w:ascii="宋体" w:hAnsi="宋体"/>
          <w:color w:val="auto"/>
          <w:sz w:val="24"/>
        </w:rPr>
        <w:br w:type="page"/>
      </w:r>
    </w:p>
    <w:p w14:paraId="2B01479B">
      <w:pPr>
        <w:pStyle w:val="12"/>
        <w:spacing w:before="312" w:after="156"/>
        <w:rPr>
          <w:color w:val="auto"/>
        </w:rPr>
      </w:pPr>
      <w:bookmarkStart w:id="37" w:name="_Toc18807"/>
      <w:bookmarkStart w:id="38" w:name="_Toc18438"/>
      <w:bookmarkStart w:id="39" w:name="_Toc4238"/>
      <w:r>
        <w:rPr>
          <w:rFonts w:hint="eastAsia"/>
          <w:color w:val="auto"/>
        </w:rPr>
        <w:t>第四章 评标方法及标准</w:t>
      </w:r>
      <w:bookmarkEnd w:id="37"/>
      <w:bookmarkEnd w:id="38"/>
      <w:bookmarkEnd w:id="39"/>
    </w:p>
    <w:p w14:paraId="494B3D41">
      <w:pPr>
        <w:pStyle w:val="13"/>
        <w:adjustRightInd w:val="0"/>
        <w:snapToGrid w:val="0"/>
        <w:jc w:val="center"/>
        <w:rPr>
          <w:rFonts w:ascii="黑体" w:hAnsi="华文中宋" w:eastAsia="黑体"/>
          <w:color w:val="auto"/>
          <w:sz w:val="28"/>
          <w:szCs w:val="28"/>
        </w:rPr>
      </w:pPr>
      <w:bookmarkStart w:id="40" w:name="_Toc2367"/>
      <w:bookmarkStart w:id="41" w:name="_Toc5496"/>
      <w:r>
        <w:rPr>
          <w:rFonts w:hint="eastAsia" w:ascii="黑体" w:hAnsi="华文中宋" w:eastAsia="黑体"/>
          <w:color w:val="auto"/>
          <w:sz w:val="28"/>
          <w:szCs w:val="28"/>
        </w:rPr>
        <w:t>第一节 评标方法及标准前附表</w:t>
      </w:r>
      <w:bookmarkEnd w:id="40"/>
      <w:bookmarkEnd w:id="41"/>
    </w:p>
    <w:p w14:paraId="7DC32C04">
      <w:pPr>
        <w:adjustRightInd w:val="0"/>
        <w:snapToGrid w:val="0"/>
        <w:spacing w:line="360" w:lineRule="auto"/>
        <w:jc w:val="right"/>
        <w:rPr>
          <w:rFonts w:ascii="宋体" w:hAnsi="宋体"/>
          <w:bCs/>
          <w:i/>
          <w:color w:val="auto"/>
          <w:szCs w:val="21"/>
        </w:rPr>
      </w:pPr>
      <w:r>
        <w:rPr>
          <w:rFonts w:hint="eastAsia" w:ascii="宋体" w:hAnsi="宋体"/>
          <w:bCs/>
          <w:i/>
          <w:color w:val="auto"/>
          <w:szCs w:val="21"/>
        </w:rPr>
        <w:t>本项目启用的条款在“编列内容规定”栏内以“</w:t>
      </w:r>
      <w:r>
        <w:rPr>
          <w:rFonts w:hint="eastAsia" w:ascii="宋体" w:hAnsi="宋体"/>
          <w:iCs/>
          <w:color w:val="auto"/>
          <w:szCs w:val="21"/>
        </w:rPr>
        <w:sym w:font="Wingdings" w:char="00FE"/>
      </w:r>
      <w:r>
        <w:rPr>
          <w:rFonts w:hint="eastAsia" w:ascii="宋体" w:hAnsi="宋体"/>
          <w:bCs/>
          <w:i/>
          <w:color w:val="auto"/>
          <w:szCs w:val="21"/>
        </w:rPr>
        <w:t>”标注。</w:t>
      </w:r>
    </w:p>
    <w:tbl>
      <w:tblPr>
        <w:tblStyle w:val="30"/>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2867"/>
        <w:gridCol w:w="4338"/>
      </w:tblGrid>
      <w:tr w14:paraId="180449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double" w:color="auto" w:sz="4" w:space="0"/>
              <w:bottom w:val="single" w:color="auto" w:sz="6" w:space="0"/>
            </w:tcBorders>
            <w:noWrap/>
          </w:tcPr>
          <w:p w14:paraId="78323452">
            <w:pPr>
              <w:adjustRightInd w:val="0"/>
              <w:snapToGrid w:val="0"/>
              <w:spacing w:beforeLines="50" w:line="360" w:lineRule="auto"/>
              <w:jc w:val="center"/>
              <w:rPr>
                <w:b/>
                <w:color w:val="auto"/>
              </w:rPr>
            </w:pPr>
            <w:r>
              <w:rPr>
                <w:rFonts w:hint="eastAsia"/>
                <w:b/>
                <w:color w:val="auto"/>
              </w:rPr>
              <w:t>条款号</w:t>
            </w:r>
          </w:p>
        </w:tc>
        <w:tc>
          <w:tcPr>
            <w:tcW w:w="2867" w:type="dxa"/>
            <w:tcBorders>
              <w:top w:val="double" w:color="auto" w:sz="4" w:space="0"/>
              <w:bottom w:val="single" w:color="auto" w:sz="6" w:space="0"/>
            </w:tcBorders>
            <w:noWrap/>
          </w:tcPr>
          <w:p w14:paraId="2D6E2286">
            <w:pPr>
              <w:adjustRightInd w:val="0"/>
              <w:snapToGrid w:val="0"/>
              <w:spacing w:beforeLines="50" w:line="360" w:lineRule="auto"/>
              <w:jc w:val="center"/>
              <w:rPr>
                <w:b/>
                <w:color w:val="auto"/>
              </w:rPr>
            </w:pPr>
            <w:r>
              <w:rPr>
                <w:rFonts w:hint="eastAsia"/>
                <w:b/>
                <w:color w:val="auto"/>
              </w:rPr>
              <w:t>条款名称</w:t>
            </w:r>
          </w:p>
        </w:tc>
        <w:tc>
          <w:tcPr>
            <w:tcW w:w="4338" w:type="dxa"/>
            <w:tcBorders>
              <w:top w:val="double" w:color="auto" w:sz="4" w:space="0"/>
              <w:bottom w:val="single" w:color="auto" w:sz="6" w:space="0"/>
            </w:tcBorders>
            <w:noWrap/>
          </w:tcPr>
          <w:p w14:paraId="5F035E6A">
            <w:pPr>
              <w:adjustRightInd w:val="0"/>
              <w:snapToGrid w:val="0"/>
              <w:spacing w:beforeLines="50" w:line="360" w:lineRule="auto"/>
              <w:jc w:val="center"/>
              <w:rPr>
                <w:b/>
                <w:color w:val="auto"/>
              </w:rPr>
            </w:pPr>
            <w:r>
              <w:rPr>
                <w:rFonts w:hint="eastAsia"/>
                <w:b/>
                <w:color w:val="auto"/>
              </w:rPr>
              <w:t>编列内容规定</w:t>
            </w:r>
          </w:p>
        </w:tc>
      </w:tr>
      <w:tr w14:paraId="32800C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single" w:color="auto" w:sz="6" w:space="0"/>
              <w:bottom w:val="single" w:color="auto" w:sz="6" w:space="0"/>
            </w:tcBorders>
            <w:noWrap/>
            <w:vAlign w:val="center"/>
          </w:tcPr>
          <w:p w14:paraId="10375491">
            <w:pPr>
              <w:adjustRightInd w:val="0"/>
              <w:snapToGrid w:val="0"/>
              <w:spacing w:beforeLines="50" w:line="360" w:lineRule="auto"/>
              <w:jc w:val="center"/>
              <w:rPr>
                <w:rFonts w:ascii="宋体" w:hAnsi="宋体"/>
                <w:color w:val="auto"/>
                <w:szCs w:val="21"/>
              </w:rPr>
            </w:pPr>
            <w:r>
              <w:rPr>
                <w:rFonts w:hint="eastAsia" w:ascii="宋体" w:hAnsi="宋体"/>
                <w:color w:val="auto"/>
                <w:szCs w:val="21"/>
              </w:rPr>
              <w:t>第1.3</w:t>
            </w:r>
            <w:r>
              <w:rPr>
                <w:rFonts w:hint="eastAsia" w:ascii="宋体" w:hAnsi="宋体" w:cs="宋体"/>
                <w:color w:val="auto"/>
                <w:kern w:val="0"/>
                <w:szCs w:val="21"/>
                <w:lang w:val="zh-CN"/>
              </w:rPr>
              <w:t>款</w:t>
            </w:r>
          </w:p>
        </w:tc>
        <w:tc>
          <w:tcPr>
            <w:tcW w:w="2867" w:type="dxa"/>
            <w:tcBorders>
              <w:top w:val="single" w:color="auto" w:sz="6" w:space="0"/>
              <w:bottom w:val="single" w:color="auto" w:sz="6" w:space="0"/>
            </w:tcBorders>
            <w:noWrap/>
            <w:vAlign w:val="center"/>
          </w:tcPr>
          <w:p w14:paraId="0A123B80">
            <w:pPr>
              <w:adjustRightInd w:val="0"/>
              <w:snapToGrid w:val="0"/>
              <w:spacing w:beforeLines="50" w:line="360" w:lineRule="auto"/>
              <w:jc w:val="center"/>
              <w:rPr>
                <w:rFonts w:ascii="宋体" w:hAnsi="宋体"/>
                <w:color w:val="auto"/>
                <w:szCs w:val="21"/>
              </w:rPr>
            </w:pPr>
            <w:r>
              <w:rPr>
                <w:rFonts w:hint="eastAsia" w:ascii="宋体" w:hAnsi="宋体"/>
                <w:color w:val="auto"/>
                <w:szCs w:val="21"/>
              </w:rPr>
              <w:t>评标方法</w:t>
            </w:r>
          </w:p>
        </w:tc>
        <w:tc>
          <w:tcPr>
            <w:tcW w:w="4338" w:type="dxa"/>
            <w:tcBorders>
              <w:top w:val="single" w:color="auto" w:sz="6" w:space="0"/>
              <w:bottom w:val="single" w:color="auto" w:sz="6" w:space="0"/>
            </w:tcBorders>
            <w:noWrap/>
            <w:vAlign w:val="center"/>
          </w:tcPr>
          <w:p w14:paraId="369503F9">
            <w:pPr>
              <w:adjustRightInd w:val="0"/>
              <w:snapToGrid w:val="0"/>
              <w:spacing w:beforeLines="50" w:line="360" w:lineRule="auto"/>
              <w:rPr>
                <w:rFonts w:ascii="宋体" w:hAnsi="宋体"/>
                <w:color w:val="auto"/>
                <w:szCs w:val="21"/>
              </w:rPr>
            </w:pPr>
            <w:r>
              <w:rPr>
                <w:rFonts w:hint="eastAsia"/>
                <w:color w:val="auto"/>
              </w:rPr>
              <w:t>综合评分法</w:t>
            </w:r>
          </w:p>
        </w:tc>
      </w:tr>
      <w:tr w14:paraId="65C70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single" w:color="auto" w:sz="6" w:space="0"/>
              <w:bottom w:val="single" w:color="auto" w:sz="6" w:space="0"/>
            </w:tcBorders>
            <w:noWrap/>
            <w:vAlign w:val="center"/>
          </w:tcPr>
          <w:p w14:paraId="308692A8">
            <w:pPr>
              <w:adjustRightInd w:val="0"/>
              <w:snapToGrid w:val="0"/>
              <w:spacing w:beforeLines="50" w:line="360" w:lineRule="auto"/>
              <w:jc w:val="center"/>
              <w:rPr>
                <w:rFonts w:ascii="宋体" w:hAnsi="宋体"/>
                <w:color w:val="auto"/>
                <w:szCs w:val="21"/>
              </w:rPr>
            </w:pPr>
            <w:r>
              <w:rPr>
                <w:rFonts w:hint="eastAsia" w:ascii="宋体" w:hAnsi="宋体"/>
                <w:color w:val="auto"/>
                <w:szCs w:val="21"/>
              </w:rPr>
              <w:t>第3.4</w:t>
            </w:r>
            <w:r>
              <w:rPr>
                <w:rFonts w:hint="eastAsia" w:ascii="宋体" w:hAnsi="宋体" w:cs="宋体"/>
                <w:color w:val="auto"/>
                <w:kern w:val="0"/>
                <w:szCs w:val="21"/>
                <w:lang w:val="zh-CN"/>
              </w:rPr>
              <w:t>款</w:t>
            </w:r>
          </w:p>
        </w:tc>
        <w:tc>
          <w:tcPr>
            <w:tcW w:w="2867" w:type="dxa"/>
            <w:tcBorders>
              <w:top w:val="single" w:color="auto" w:sz="6" w:space="0"/>
              <w:bottom w:val="single" w:color="auto" w:sz="6" w:space="0"/>
            </w:tcBorders>
            <w:noWrap/>
            <w:vAlign w:val="center"/>
          </w:tcPr>
          <w:p w14:paraId="6DC50FF6">
            <w:pPr>
              <w:adjustRightInd w:val="0"/>
              <w:snapToGrid w:val="0"/>
              <w:spacing w:beforeLines="50" w:line="360" w:lineRule="auto"/>
              <w:jc w:val="center"/>
              <w:rPr>
                <w:rFonts w:ascii="宋体" w:hAnsi="宋体"/>
                <w:bCs/>
                <w:color w:val="auto"/>
                <w:szCs w:val="21"/>
              </w:rPr>
            </w:pPr>
            <w:r>
              <w:rPr>
                <w:rFonts w:hint="eastAsia" w:ascii="宋体" w:hAnsi="宋体"/>
                <w:bCs/>
                <w:color w:val="auto"/>
                <w:szCs w:val="21"/>
              </w:rPr>
              <w:t>非单一产品采购项目的核心产品(本项目不适用)</w:t>
            </w:r>
          </w:p>
        </w:tc>
        <w:tc>
          <w:tcPr>
            <w:tcW w:w="4338" w:type="dxa"/>
            <w:tcBorders>
              <w:top w:val="single" w:color="auto" w:sz="6" w:space="0"/>
              <w:bottom w:val="single" w:color="auto" w:sz="6" w:space="0"/>
            </w:tcBorders>
            <w:noWrap/>
            <w:vAlign w:val="center"/>
          </w:tcPr>
          <w:p w14:paraId="0F1E954C">
            <w:pPr>
              <w:adjustRightInd w:val="0"/>
              <w:snapToGrid w:val="0"/>
              <w:spacing w:beforeLines="50" w:line="360" w:lineRule="auto"/>
              <w:rPr>
                <w:color w:val="auto"/>
              </w:rPr>
            </w:pPr>
            <w:r>
              <w:rPr>
                <w:rFonts w:hint="eastAsia" w:ascii="MS Gothic" w:hAnsi="MS Gothic" w:eastAsia="MS Gothic" w:cs="MS Gothic"/>
                <w:color w:val="auto"/>
                <w:szCs w:val="21"/>
              </w:rPr>
              <w:sym w:font="Wingdings" w:char="00A8"/>
            </w:r>
            <w:r>
              <w:rPr>
                <w:rFonts w:hint="eastAsia"/>
                <w:color w:val="auto"/>
              </w:rPr>
              <w:t>单一产品采购，此项不适用</w:t>
            </w:r>
          </w:p>
          <w:p w14:paraId="4A7CFC76">
            <w:pPr>
              <w:adjustRightInd w:val="0"/>
              <w:snapToGrid w:val="0"/>
              <w:spacing w:beforeLines="50" w:line="360" w:lineRule="auto"/>
              <w:rPr>
                <w:color w:val="auto"/>
                <w:szCs w:val="21"/>
                <w:u w:val="single"/>
              </w:rPr>
            </w:pPr>
            <w:r>
              <w:rPr>
                <w:rFonts w:hint="eastAsia" w:ascii="MS Gothic" w:hAnsi="MS Gothic" w:eastAsia="MS Gothic" w:cs="MS Gothic"/>
                <w:color w:val="auto"/>
                <w:szCs w:val="21"/>
              </w:rPr>
              <w:sym w:font="Wingdings" w:char="00A8"/>
            </w:r>
            <w:r>
              <w:rPr>
                <w:rFonts w:hint="eastAsia"/>
                <w:color w:val="auto"/>
              </w:rPr>
              <w:t>非单一产品采购，核心产品为：</w:t>
            </w:r>
            <w:r>
              <w:rPr>
                <w:rFonts w:hint="eastAsia"/>
                <w:color w:val="auto"/>
                <w:szCs w:val="21"/>
                <w:u w:val="single"/>
              </w:rPr>
              <w:t xml:space="preserve"> /  </w:t>
            </w:r>
          </w:p>
          <w:p w14:paraId="05F0EDB1">
            <w:pPr>
              <w:adjustRightInd w:val="0"/>
              <w:snapToGrid w:val="0"/>
              <w:spacing w:beforeLines="50" w:line="360" w:lineRule="auto"/>
              <w:rPr>
                <w:rFonts w:ascii="宋体" w:hAnsi="宋体"/>
                <w:color w:val="auto"/>
                <w:szCs w:val="21"/>
              </w:rPr>
            </w:pPr>
            <w:r>
              <w:rPr>
                <w:rFonts w:hint="eastAsia" w:ascii="MS Gothic" w:hAnsi="MS Gothic" w:eastAsia="MS Gothic" w:cs="MS Gothic"/>
                <w:color w:val="auto"/>
                <w:szCs w:val="21"/>
              </w:rPr>
              <w:sym w:font="Wingdings" w:char="00A8"/>
            </w:r>
            <w:r>
              <w:rPr>
                <w:rFonts w:hint="eastAsia"/>
                <w:color w:val="auto"/>
              </w:rPr>
              <w:t>多个核心产品，有任意</w:t>
            </w:r>
            <w:r>
              <w:rPr>
                <w:rFonts w:hint="eastAsia"/>
                <w:color w:val="auto"/>
                <w:u w:val="single"/>
              </w:rPr>
              <w:t xml:space="preserve">   </w:t>
            </w:r>
            <w:r>
              <w:rPr>
                <w:rFonts w:hint="eastAsia"/>
                <w:color w:val="auto"/>
              </w:rPr>
              <w:t>个核心产品相同的投标人认定为同一个投标人。</w:t>
            </w:r>
          </w:p>
        </w:tc>
      </w:tr>
      <w:tr w14:paraId="7E9BC6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single" w:color="auto" w:sz="6" w:space="0"/>
              <w:bottom w:val="single" w:color="auto" w:sz="6" w:space="0"/>
            </w:tcBorders>
            <w:noWrap/>
            <w:vAlign w:val="center"/>
          </w:tcPr>
          <w:p w14:paraId="1BCEFB2C">
            <w:pPr>
              <w:adjustRightInd w:val="0"/>
              <w:snapToGrid w:val="0"/>
              <w:spacing w:beforeLines="50" w:line="360" w:lineRule="auto"/>
              <w:jc w:val="center"/>
              <w:rPr>
                <w:rFonts w:ascii="宋体" w:hAnsi="宋体"/>
                <w:color w:val="auto"/>
                <w:szCs w:val="21"/>
              </w:rPr>
            </w:pPr>
            <w:r>
              <w:rPr>
                <w:rFonts w:hint="eastAsia" w:ascii="宋体" w:hAnsi="宋体"/>
                <w:color w:val="auto"/>
                <w:szCs w:val="21"/>
              </w:rPr>
              <w:t>第4.2</w:t>
            </w:r>
            <w:r>
              <w:rPr>
                <w:rFonts w:hint="eastAsia" w:ascii="宋体" w:hAnsi="宋体" w:cs="宋体"/>
                <w:color w:val="auto"/>
                <w:kern w:val="0"/>
                <w:szCs w:val="21"/>
                <w:lang w:val="zh-CN"/>
              </w:rPr>
              <w:t>款</w:t>
            </w:r>
          </w:p>
        </w:tc>
        <w:tc>
          <w:tcPr>
            <w:tcW w:w="2867" w:type="dxa"/>
            <w:tcBorders>
              <w:top w:val="single" w:color="auto" w:sz="6" w:space="0"/>
              <w:bottom w:val="single" w:color="auto" w:sz="6" w:space="0"/>
            </w:tcBorders>
            <w:noWrap/>
            <w:vAlign w:val="center"/>
          </w:tcPr>
          <w:p w14:paraId="5E73F02B">
            <w:pPr>
              <w:adjustRightInd w:val="0"/>
              <w:snapToGrid w:val="0"/>
              <w:spacing w:beforeLines="50" w:line="360" w:lineRule="auto"/>
              <w:jc w:val="center"/>
              <w:rPr>
                <w:rFonts w:ascii="宋体" w:hAnsi="宋体"/>
                <w:color w:val="auto"/>
                <w:szCs w:val="21"/>
              </w:rPr>
            </w:pPr>
            <w:r>
              <w:rPr>
                <w:rFonts w:hint="eastAsia" w:ascii="宋体" w:hAnsi="宋体"/>
                <w:color w:val="auto"/>
                <w:szCs w:val="21"/>
              </w:rPr>
              <w:t>投标文件报价出现前后不一致的修正</w:t>
            </w:r>
          </w:p>
        </w:tc>
        <w:tc>
          <w:tcPr>
            <w:tcW w:w="4338" w:type="dxa"/>
            <w:tcBorders>
              <w:top w:val="single" w:color="auto" w:sz="6" w:space="0"/>
              <w:bottom w:val="single" w:color="auto" w:sz="6" w:space="0"/>
            </w:tcBorders>
            <w:noWrap/>
            <w:vAlign w:val="center"/>
          </w:tcPr>
          <w:p w14:paraId="12DA8269">
            <w:pPr>
              <w:adjustRightInd w:val="0"/>
              <w:snapToGrid w:val="0"/>
              <w:spacing w:beforeLines="50" w:line="360" w:lineRule="auto"/>
              <w:rPr>
                <w:color w:val="auto"/>
                <w:szCs w:val="21"/>
              </w:rPr>
            </w:pPr>
            <w:r>
              <w:rPr>
                <w:rFonts w:hint="eastAsia"/>
                <w:color w:val="auto"/>
              </w:rPr>
              <w:t>按正文部分规定修正</w:t>
            </w:r>
          </w:p>
        </w:tc>
      </w:tr>
      <w:tr w14:paraId="4953AC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single" w:color="auto" w:sz="6" w:space="0"/>
              <w:bottom w:val="single" w:color="auto" w:sz="6" w:space="0"/>
            </w:tcBorders>
            <w:noWrap/>
            <w:vAlign w:val="center"/>
          </w:tcPr>
          <w:p w14:paraId="5E3202D6">
            <w:pPr>
              <w:adjustRightInd w:val="0"/>
              <w:snapToGrid w:val="0"/>
              <w:spacing w:line="360" w:lineRule="auto"/>
              <w:jc w:val="center"/>
              <w:rPr>
                <w:rFonts w:ascii="宋体" w:hAnsi="宋体"/>
                <w:color w:val="auto"/>
                <w:szCs w:val="21"/>
              </w:rPr>
            </w:pPr>
            <w:r>
              <w:rPr>
                <w:rFonts w:hint="eastAsia" w:ascii="宋体" w:hAnsi="宋体"/>
                <w:color w:val="auto"/>
                <w:szCs w:val="21"/>
              </w:rPr>
              <w:t>第5.2（1）</w:t>
            </w:r>
            <w:r>
              <w:rPr>
                <w:rFonts w:hint="eastAsia" w:ascii="宋体" w:hAnsi="宋体" w:cs="宋体"/>
                <w:color w:val="auto"/>
                <w:kern w:val="0"/>
                <w:szCs w:val="21"/>
                <w:lang w:val="zh-CN"/>
              </w:rPr>
              <w:t>项</w:t>
            </w:r>
          </w:p>
        </w:tc>
        <w:tc>
          <w:tcPr>
            <w:tcW w:w="2867" w:type="dxa"/>
            <w:tcBorders>
              <w:top w:val="single" w:color="auto" w:sz="6" w:space="0"/>
              <w:bottom w:val="single" w:color="auto" w:sz="6" w:space="0"/>
            </w:tcBorders>
            <w:noWrap/>
            <w:tcMar>
              <w:top w:w="0" w:type="dxa"/>
              <w:left w:w="0" w:type="dxa"/>
              <w:bottom w:w="0" w:type="dxa"/>
              <w:right w:w="0" w:type="dxa"/>
            </w:tcMar>
            <w:vAlign w:val="center"/>
          </w:tcPr>
          <w:p w14:paraId="72944804">
            <w:pPr>
              <w:adjustRightInd w:val="0"/>
              <w:snapToGrid w:val="0"/>
              <w:spacing w:line="360" w:lineRule="auto"/>
              <w:jc w:val="center"/>
              <w:rPr>
                <w:rFonts w:ascii="宋体" w:hAnsi="宋体"/>
                <w:color w:val="auto"/>
                <w:szCs w:val="21"/>
              </w:rPr>
            </w:pPr>
            <w:r>
              <w:rPr>
                <w:rFonts w:hint="eastAsia" w:ascii="宋体" w:hAnsi="宋体"/>
                <w:color w:val="auto"/>
                <w:szCs w:val="21"/>
              </w:rPr>
              <w:t>相同品牌产品投标报价相同的</w:t>
            </w:r>
          </w:p>
        </w:tc>
        <w:tc>
          <w:tcPr>
            <w:tcW w:w="4338" w:type="dxa"/>
            <w:tcBorders>
              <w:top w:val="single" w:color="auto" w:sz="6" w:space="0"/>
              <w:bottom w:val="single" w:color="auto" w:sz="6" w:space="0"/>
            </w:tcBorders>
            <w:noWrap/>
            <w:vAlign w:val="center"/>
          </w:tcPr>
          <w:p w14:paraId="1745049E">
            <w:pPr>
              <w:adjustRightInd w:val="0"/>
              <w:snapToGrid w:val="0"/>
              <w:spacing w:beforeLines="50" w:line="360" w:lineRule="auto"/>
              <w:rPr>
                <w:color w:val="auto"/>
                <w:szCs w:val="21"/>
              </w:rPr>
            </w:pPr>
            <w:r>
              <w:rPr>
                <w:rFonts w:hint="eastAsia" w:ascii="宋体" w:hAnsi="宋体"/>
                <w:bCs/>
                <w:color w:val="auto"/>
                <w:szCs w:val="21"/>
              </w:rPr>
              <w:t>采取随机抽取方式确定参加评标的投标人</w:t>
            </w:r>
          </w:p>
        </w:tc>
      </w:tr>
      <w:tr w14:paraId="17BCA5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single" w:color="auto" w:sz="6" w:space="0"/>
              <w:bottom w:val="single" w:color="auto" w:sz="6" w:space="0"/>
            </w:tcBorders>
            <w:noWrap/>
            <w:vAlign w:val="center"/>
          </w:tcPr>
          <w:p w14:paraId="6BC9DBEE">
            <w:pPr>
              <w:adjustRightInd w:val="0"/>
              <w:snapToGrid w:val="0"/>
              <w:spacing w:beforeLines="50" w:line="360" w:lineRule="auto"/>
              <w:jc w:val="center"/>
              <w:rPr>
                <w:rFonts w:ascii="宋体" w:hAnsi="宋体"/>
                <w:color w:val="auto"/>
                <w:szCs w:val="21"/>
              </w:rPr>
            </w:pPr>
            <w:r>
              <w:rPr>
                <w:rFonts w:hint="eastAsia" w:ascii="宋体" w:hAnsi="宋体"/>
                <w:color w:val="auto"/>
                <w:szCs w:val="21"/>
              </w:rPr>
              <w:t>第5.2（2）</w:t>
            </w:r>
            <w:r>
              <w:rPr>
                <w:rFonts w:hint="eastAsia" w:ascii="宋体" w:hAnsi="宋体" w:cs="宋体"/>
                <w:color w:val="auto"/>
                <w:kern w:val="0"/>
                <w:szCs w:val="21"/>
                <w:lang w:val="zh-CN"/>
              </w:rPr>
              <w:t>项</w:t>
            </w:r>
          </w:p>
        </w:tc>
        <w:tc>
          <w:tcPr>
            <w:tcW w:w="2867" w:type="dxa"/>
            <w:tcBorders>
              <w:top w:val="single" w:color="auto" w:sz="6" w:space="0"/>
              <w:bottom w:val="single" w:color="auto" w:sz="6" w:space="0"/>
            </w:tcBorders>
            <w:noWrap/>
            <w:vAlign w:val="center"/>
          </w:tcPr>
          <w:p w14:paraId="465F40B2">
            <w:pPr>
              <w:adjustRightInd w:val="0"/>
              <w:snapToGrid w:val="0"/>
              <w:spacing w:beforeLines="50" w:line="360" w:lineRule="auto"/>
              <w:jc w:val="center"/>
              <w:rPr>
                <w:rFonts w:ascii="宋体" w:hAnsi="宋体"/>
                <w:bCs/>
                <w:color w:val="auto"/>
                <w:szCs w:val="21"/>
              </w:rPr>
            </w:pPr>
            <w:r>
              <w:rPr>
                <w:rFonts w:hint="eastAsia" w:ascii="宋体" w:hAnsi="宋体"/>
                <w:bCs/>
                <w:color w:val="auto"/>
                <w:szCs w:val="21"/>
              </w:rPr>
              <w:t>相同品牌产品评审得分相同的规定（本项目不适用）</w:t>
            </w:r>
          </w:p>
        </w:tc>
        <w:tc>
          <w:tcPr>
            <w:tcW w:w="4338" w:type="dxa"/>
            <w:tcBorders>
              <w:top w:val="single" w:color="auto" w:sz="6" w:space="0"/>
              <w:bottom w:val="single" w:color="auto" w:sz="6" w:space="0"/>
            </w:tcBorders>
            <w:noWrap/>
            <w:vAlign w:val="center"/>
          </w:tcPr>
          <w:p w14:paraId="5FE95A68">
            <w:pPr>
              <w:adjustRightInd w:val="0"/>
              <w:snapToGrid w:val="0"/>
              <w:spacing w:line="360" w:lineRule="auto"/>
              <w:rPr>
                <w:rFonts w:ascii="MS Gothic" w:hAnsi="MS Gothic" w:cs="MS Gothic"/>
                <w:color w:val="auto"/>
                <w:szCs w:val="21"/>
              </w:rPr>
            </w:pPr>
            <w:r>
              <w:rPr>
                <w:rFonts w:hint="eastAsia" w:ascii="MS Gothic" w:hAnsi="MS Gothic" w:cs="MS Gothic"/>
                <w:color w:val="auto"/>
                <w:szCs w:val="21"/>
              </w:rPr>
              <w:t>依次采取下述方式：</w:t>
            </w:r>
          </w:p>
          <w:p w14:paraId="54487562">
            <w:pPr>
              <w:adjustRightInd w:val="0"/>
              <w:snapToGrid w:val="0"/>
              <w:spacing w:line="360" w:lineRule="auto"/>
              <w:rPr>
                <w:rFonts w:ascii="MS Gothic" w:hAnsi="MS Gothic" w:cs="MS Gothic"/>
                <w:color w:val="auto"/>
                <w:szCs w:val="21"/>
              </w:rPr>
            </w:pPr>
            <w:r>
              <w:rPr>
                <w:rFonts w:hint="eastAsia" w:ascii="MS Gothic" w:hAnsi="MS Gothic" w:eastAsia="MS Gothic" w:cs="MS Gothic"/>
                <w:color w:val="auto"/>
                <w:szCs w:val="21"/>
              </w:rPr>
              <w:t>☐</w:t>
            </w:r>
            <w:r>
              <w:rPr>
                <w:rFonts w:hint="eastAsia" w:ascii="宋体" w:hAnsi="宋体"/>
                <w:color w:val="auto"/>
                <w:szCs w:val="21"/>
              </w:rPr>
              <w:t>报价最低的获得</w:t>
            </w:r>
            <w:r>
              <w:rPr>
                <w:rFonts w:hint="eastAsia" w:ascii="宋体" w:hAnsi="宋体"/>
                <w:bCs/>
                <w:color w:val="auto"/>
                <w:szCs w:val="21"/>
              </w:rPr>
              <w:t>中标人推荐资格</w:t>
            </w:r>
          </w:p>
          <w:p w14:paraId="686DE335">
            <w:pPr>
              <w:adjustRightInd w:val="0"/>
              <w:snapToGrid w:val="0"/>
              <w:spacing w:line="360" w:lineRule="auto"/>
              <w:rPr>
                <w:rFonts w:ascii="MS Gothic" w:hAnsi="MS Gothic" w:cs="MS Gothic"/>
                <w:color w:val="auto"/>
                <w:szCs w:val="21"/>
              </w:rPr>
            </w:pPr>
            <w:r>
              <w:rPr>
                <w:rFonts w:hint="eastAsia" w:ascii="MS Gothic" w:hAnsi="MS Gothic" w:eastAsia="MS Gothic" w:cs="MS Gothic"/>
                <w:color w:val="auto"/>
                <w:szCs w:val="21"/>
              </w:rPr>
              <w:t>☐</w:t>
            </w:r>
            <w:r>
              <w:rPr>
                <w:rFonts w:hint="eastAsia" w:ascii="MS Gothic" w:hAnsi="MS Gothic" w:cs="MS Gothic"/>
                <w:color w:val="auto"/>
                <w:szCs w:val="21"/>
              </w:rPr>
              <w:t>技术得分最高</w:t>
            </w:r>
            <w:r>
              <w:rPr>
                <w:rFonts w:hint="eastAsia" w:ascii="宋体" w:hAnsi="宋体"/>
                <w:color w:val="auto"/>
                <w:szCs w:val="21"/>
              </w:rPr>
              <w:t>的获得</w:t>
            </w:r>
            <w:r>
              <w:rPr>
                <w:rFonts w:hint="eastAsia" w:ascii="宋体" w:hAnsi="宋体"/>
                <w:bCs/>
                <w:color w:val="auto"/>
                <w:szCs w:val="21"/>
              </w:rPr>
              <w:t>中标人推荐资格</w:t>
            </w:r>
          </w:p>
          <w:p w14:paraId="2F4014A4">
            <w:pPr>
              <w:adjustRightInd w:val="0"/>
              <w:snapToGrid w:val="0"/>
              <w:spacing w:beforeLines="50" w:line="360" w:lineRule="auto"/>
              <w:rPr>
                <w:rFonts w:ascii="宋体" w:hAnsi="宋体"/>
                <w:bCs/>
                <w:color w:val="auto"/>
                <w:szCs w:val="21"/>
              </w:rPr>
            </w:pPr>
            <w:r>
              <w:rPr>
                <w:rFonts w:hint="eastAsia" w:ascii="MS Gothic" w:hAnsi="MS Gothic" w:eastAsia="MS Gothic" w:cs="MS Gothic"/>
                <w:color w:val="auto"/>
                <w:szCs w:val="21"/>
              </w:rPr>
              <w:t>☐</w:t>
            </w:r>
            <w:r>
              <w:rPr>
                <w:rFonts w:hint="eastAsia" w:ascii="MS Gothic" w:hAnsi="MS Gothic" w:cs="MS Gothic"/>
                <w:color w:val="auto"/>
                <w:szCs w:val="21"/>
              </w:rPr>
              <w:t>商务得分最高</w:t>
            </w:r>
            <w:r>
              <w:rPr>
                <w:rFonts w:hint="eastAsia" w:ascii="宋体" w:hAnsi="宋体"/>
                <w:color w:val="auto"/>
                <w:szCs w:val="21"/>
              </w:rPr>
              <w:t>的获得</w:t>
            </w:r>
            <w:r>
              <w:rPr>
                <w:rFonts w:hint="eastAsia" w:ascii="宋体" w:hAnsi="宋体"/>
                <w:bCs/>
                <w:color w:val="auto"/>
                <w:szCs w:val="21"/>
              </w:rPr>
              <w:t>中标人推荐资格</w:t>
            </w:r>
          </w:p>
          <w:p w14:paraId="5C82E04D">
            <w:pPr>
              <w:adjustRightInd w:val="0"/>
              <w:snapToGrid w:val="0"/>
              <w:spacing w:beforeLines="50" w:line="360" w:lineRule="auto"/>
              <w:rPr>
                <w:color w:val="auto"/>
                <w:szCs w:val="21"/>
              </w:rPr>
            </w:pPr>
            <w:r>
              <w:rPr>
                <w:rFonts w:hint="eastAsia" w:ascii="MS Gothic" w:hAnsi="MS Gothic" w:eastAsia="MS Gothic" w:cs="MS Gothic"/>
                <w:color w:val="auto"/>
                <w:szCs w:val="21"/>
              </w:rPr>
              <w:t>☐</w:t>
            </w:r>
            <w:r>
              <w:rPr>
                <w:rFonts w:hint="eastAsia" w:ascii="宋体" w:hAnsi="宋体"/>
                <w:bCs/>
                <w:color w:val="auto"/>
                <w:szCs w:val="21"/>
              </w:rPr>
              <w:t>采取随机抽取方式确定中标人推荐资格</w:t>
            </w:r>
          </w:p>
        </w:tc>
      </w:tr>
      <w:tr w14:paraId="7F630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584" w:type="dxa"/>
            <w:tcBorders>
              <w:top w:val="single" w:color="auto" w:sz="6" w:space="0"/>
              <w:bottom w:val="double" w:color="auto" w:sz="4" w:space="0"/>
            </w:tcBorders>
            <w:noWrap/>
            <w:vAlign w:val="center"/>
          </w:tcPr>
          <w:p w14:paraId="724832D2">
            <w:pPr>
              <w:adjustRightInd w:val="0"/>
              <w:snapToGrid w:val="0"/>
              <w:spacing w:beforeLines="50" w:line="360" w:lineRule="auto"/>
              <w:jc w:val="center"/>
              <w:rPr>
                <w:rFonts w:ascii="宋体" w:hAnsi="宋体"/>
                <w:color w:val="auto"/>
                <w:szCs w:val="21"/>
              </w:rPr>
            </w:pPr>
            <w:r>
              <w:rPr>
                <w:rFonts w:hint="eastAsia" w:ascii="宋体" w:hAnsi="宋体"/>
                <w:color w:val="auto"/>
                <w:szCs w:val="21"/>
              </w:rPr>
              <w:t>第6.2</w:t>
            </w:r>
            <w:r>
              <w:rPr>
                <w:rFonts w:hint="eastAsia" w:ascii="宋体" w:hAnsi="宋体" w:cs="宋体"/>
                <w:color w:val="auto"/>
                <w:kern w:val="0"/>
                <w:szCs w:val="21"/>
                <w:lang w:val="zh-CN"/>
              </w:rPr>
              <w:t>款</w:t>
            </w:r>
          </w:p>
        </w:tc>
        <w:tc>
          <w:tcPr>
            <w:tcW w:w="2867" w:type="dxa"/>
            <w:tcBorders>
              <w:top w:val="single" w:color="auto" w:sz="6" w:space="0"/>
              <w:bottom w:val="double" w:color="auto" w:sz="4" w:space="0"/>
              <w:right w:val="single" w:color="auto" w:sz="6" w:space="0"/>
            </w:tcBorders>
            <w:noWrap/>
            <w:vAlign w:val="center"/>
          </w:tcPr>
          <w:p w14:paraId="7D9D876F">
            <w:pPr>
              <w:adjustRightInd w:val="0"/>
              <w:snapToGrid w:val="0"/>
              <w:spacing w:beforeLines="50" w:line="360" w:lineRule="auto"/>
              <w:jc w:val="center"/>
              <w:rPr>
                <w:rFonts w:ascii="宋体" w:hAnsi="宋体"/>
                <w:color w:val="auto"/>
                <w:szCs w:val="21"/>
              </w:rPr>
            </w:pPr>
            <w:r>
              <w:rPr>
                <w:rFonts w:hint="eastAsia" w:ascii="宋体" w:hAnsi="宋体"/>
                <w:color w:val="auto"/>
                <w:szCs w:val="21"/>
              </w:rPr>
              <w:t>中标候选人并列的确定中标人的方式</w:t>
            </w:r>
          </w:p>
        </w:tc>
        <w:tc>
          <w:tcPr>
            <w:tcW w:w="4338" w:type="dxa"/>
            <w:tcBorders>
              <w:top w:val="single" w:color="auto" w:sz="6" w:space="0"/>
              <w:left w:val="single" w:color="auto" w:sz="6" w:space="0"/>
              <w:bottom w:val="double" w:color="auto" w:sz="4" w:space="0"/>
              <w:right w:val="double" w:color="auto" w:sz="4" w:space="0"/>
            </w:tcBorders>
            <w:noWrap/>
            <w:vAlign w:val="center"/>
          </w:tcPr>
          <w:p w14:paraId="6DCF3471">
            <w:pPr>
              <w:adjustRightInd w:val="0"/>
              <w:snapToGrid w:val="0"/>
              <w:spacing w:line="360" w:lineRule="auto"/>
              <w:rPr>
                <w:rFonts w:ascii="MS Gothic" w:hAnsi="MS Gothic" w:cs="MS Gothic"/>
                <w:color w:val="auto"/>
                <w:szCs w:val="21"/>
              </w:rPr>
            </w:pPr>
            <w:r>
              <w:rPr>
                <w:rFonts w:hint="eastAsia" w:ascii="MS Gothic" w:hAnsi="MS Gothic" w:cs="MS Gothic"/>
                <w:color w:val="auto"/>
                <w:szCs w:val="21"/>
              </w:rPr>
              <w:t>综合评分法（依次采取下述方式）</w:t>
            </w:r>
          </w:p>
          <w:p w14:paraId="0D9D2334">
            <w:pPr>
              <w:adjustRightInd w:val="0"/>
              <w:snapToGrid w:val="0"/>
              <w:spacing w:line="360" w:lineRule="auto"/>
              <w:rPr>
                <w:rFonts w:ascii="MS Gothic" w:hAnsi="MS Gothic" w:cs="MS Gothic"/>
                <w:color w:val="auto"/>
                <w:szCs w:val="21"/>
              </w:rPr>
            </w:pPr>
            <w:r>
              <w:rPr>
                <w:rFonts w:hint="eastAsia" w:ascii="MS Gothic" w:hAnsi="MS Gothic" w:eastAsia="MS Gothic" w:cs="MS Gothic"/>
                <w:color w:val="auto"/>
                <w:szCs w:val="21"/>
              </w:rPr>
              <w:sym w:font="Wingdings" w:char="00FE"/>
            </w:r>
            <w:r>
              <w:rPr>
                <w:rFonts w:hint="eastAsia" w:ascii="宋体" w:hAnsi="宋体"/>
                <w:color w:val="auto"/>
                <w:szCs w:val="21"/>
              </w:rPr>
              <w:t>报价最低</w:t>
            </w:r>
          </w:p>
          <w:p w14:paraId="55D40072">
            <w:pPr>
              <w:adjustRightInd w:val="0"/>
              <w:snapToGrid w:val="0"/>
              <w:spacing w:line="360" w:lineRule="auto"/>
              <w:rPr>
                <w:rFonts w:ascii="MS Gothic" w:hAnsi="MS Gothic" w:cs="MS Gothic"/>
                <w:color w:val="auto"/>
                <w:szCs w:val="21"/>
              </w:rPr>
            </w:pPr>
            <w:r>
              <w:rPr>
                <w:rFonts w:hint="eastAsia" w:ascii="MS Gothic" w:hAnsi="MS Gothic" w:eastAsia="MS Gothic" w:cs="MS Gothic"/>
                <w:color w:val="auto"/>
                <w:szCs w:val="21"/>
              </w:rPr>
              <w:sym w:font="Wingdings" w:char="00FE"/>
            </w:r>
            <w:r>
              <w:rPr>
                <w:rFonts w:hint="eastAsia" w:ascii="MS Gothic" w:hAnsi="MS Gothic" w:cs="MS Gothic"/>
                <w:color w:val="auto"/>
                <w:szCs w:val="21"/>
              </w:rPr>
              <w:t>技术得分最高</w:t>
            </w:r>
          </w:p>
          <w:p w14:paraId="3237D28B">
            <w:pPr>
              <w:adjustRightInd w:val="0"/>
              <w:snapToGrid w:val="0"/>
              <w:spacing w:line="360" w:lineRule="auto"/>
              <w:rPr>
                <w:rFonts w:ascii="MS Gothic" w:hAnsi="MS Gothic" w:cs="MS Gothic"/>
                <w:color w:val="auto"/>
                <w:szCs w:val="21"/>
              </w:rPr>
            </w:pPr>
            <w:r>
              <w:rPr>
                <w:rFonts w:hint="eastAsia" w:ascii="MS Gothic" w:hAnsi="MS Gothic" w:eastAsia="MS Gothic" w:cs="MS Gothic"/>
                <w:color w:val="auto"/>
                <w:szCs w:val="21"/>
              </w:rPr>
              <w:sym w:font="Wingdings" w:char="00FE"/>
            </w:r>
            <w:r>
              <w:rPr>
                <w:rFonts w:hint="eastAsia" w:ascii="MS Gothic" w:hAnsi="MS Gothic" w:cs="MS Gothic"/>
                <w:color w:val="auto"/>
                <w:szCs w:val="21"/>
              </w:rPr>
              <w:t>商务得分最高</w:t>
            </w:r>
          </w:p>
          <w:p w14:paraId="6E90C1C4">
            <w:pPr>
              <w:adjustRightInd w:val="0"/>
              <w:snapToGrid w:val="0"/>
              <w:spacing w:line="360" w:lineRule="auto"/>
              <w:rPr>
                <w:rFonts w:ascii="宋体" w:hAnsi="宋体"/>
                <w:color w:val="auto"/>
                <w:szCs w:val="21"/>
              </w:rPr>
            </w:pPr>
            <w:r>
              <w:rPr>
                <w:rFonts w:hint="eastAsia" w:ascii="MS Gothic" w:hAnsi="MS Gothic" w:eastAsia="MS Gothic" w:cs="MS Gothic"/>
                <w:color w:val="auto"/>
                <w:szCs w:val="21"/>
              </w:rPr>
              <w:sym w:font="Wingdings" w:char="00FE"/>
            </w:r>
            <w:r>
              <w:rPr>
                <w:rFonts w:hint="eastAsia" w:ascii="MS Gothic" w:hAnsi="MS Gothic" w:cs="MS Gothic"/>
                <w:color w:val="auto"/>
                <w:szCs w:val="21"/>
              </w:rPr>
              <w:t>随机抽取</w:t>
            </w:r>
          </w:p>
        </w:tc>
      </w:tr>
    </w:tbl>
    <w:p w14:paraId="2895EBF5">
      <w:pPr>
        <w:pStyle w:val="13"/>
        <w:keepNext w:val="0"/>
        <w:keepLines w:val="0"/>
        <w:adjustRightInd w:val="0"/>
        <w:snapToGrid w:val="0"/>
        <w:spacing w:beforeLines="50"/>
        <w:jc w:val="center"/>
        <w:rPr>
          <w:rFonts w:ascii="黑体" w:hAnsi="华文中宋" w:eastAsia="黑体"/>
          <w:color w:val="auto"/>
          <w:sz w:val="28"/>
          <w:szCs w:val="28"/>
        </w:rPr>
      </w:pPr>
      <w:bookmarkStart w:id="42" w:name="_Toc30022"/>
    </w:p>
    <w:p w14:paraId="3CB8397F">
      <w:pPr>
        <w:rPr>
          <w:rFonts w:ascii="黑体" w:hAnsi="华文中宋" w:eastAsia="黑体"/>
          <w:color w:val="auto"/>
          <w:sz w:val="28"/>
          <w:szCs w:val="28"/>
        </w:rPr>
      </w:pPr>
    </w:p>
    <w:p w14:paraId="25FEB598">
      <w:pPr>
        <w:pStyle w:val="5"/>
        <w:ind w:firstLine="560"/>
        <w:rPr>
          <w:rFonts w:ascii="黑体" w:hAnsi="华文中宋" w:eastAsia="黑体"/>
          <w:color w:val="auto"/>
          <w:sz w:val="28"/>
          <w:szCs w:val="28"/>
        </w:rPr>
      </w:pPr>
    </w:p>
    <w:p w14:paraId="467C6042">
      <w:pPr>
        <w:pStyle w:val="7"/>
        <w:rPr>
          <w:color w:val="auto"/>
        </w:rPr>
      </w:pPr>
    </w:p>
    <w:p w14:paraId="064C2CDD">
      <w:pPr>
        <w:pStyle w:val="13"/>
        <w:keepNext w:val="0"/>
        <w:keepLines w:val="0"/>
        <w:adjustRightInd w:val="0"/>
        <w:snapToGrid w:val="0"/>
        <w:spacing w:beforeLines="50"/>
        <w:jc w:val="center"/>
        <w:rPr>
          <w:rFonts w:ascii="黑体" w:hAnsi="华文中宋" w:eastAsia="黑体"/>
          <w:color w:val="auto"/>
          <w:sz w:val="28"/>
          <w:szCs w:val="28"/>
        </w:rPr>
      </w:pPr>
      <w:bookmarkStart w:id="43" w:name="_Toc29588"/>
      <w:r>
        <w:rPr>
          <w:rFonts w:hint="eastAsia" w:ascii="黑体" w:hAnsi="华文中宋" w:eastAsia="黑体"/>
          <w:color w:val="auto"/>
          <w:sz w:val="28"/>
          <w:szCs w:val="28"/>
        </w:rPr>
        <w:t>第二节 评标方法及标准</w:t>
      </w:r>
      <w:bookmarkEnd w:id="42"/>
      <w:bookmarkEnd w:id="43"/>
    </w:p>
    <w:p w14:paraId="0FF5D7B2">
      <w:pPr>
        <w:pStyle w:val="14"/>
        <w:keepNext w:val="0"/>
        <w:keepLines w:val="0"/>
        <w:adjustRightInd w:val="0"/>
        <w:snapToGrid w:val="0"/>
        <w:spacing w:beforeLines="50" w:after="0" w:line="360" w:lineRule="auto"/>
        <w:rPr>
          <w:rFonts w:ascii="黑体" w:hAnsi="黑体" w:eastAsia="黑体"/>
          <w:color w:val="auto"/>
          <w:sz w:val="24"/>
          <w:szCs w:val="24"/>
        </w:rPr>
      </w:pPr>
      <w:bookmarkStart w:id="44" w:name="_Toc29837"/>
      <w:r>
        <w:rPr>
          <w:rFonts w:hint="eastAsia" w:ascii="黑体" w:hAnsi="黑体" w:eastAsia="黑体"/>
          <w:color w:val="auto"/>
          <w:sz w:val="24"/>
          <w:szCs w:val="24"/>
        </w:rPr>
        <w:t>1．评标方法</w:t>
      </w:r>
      <w:bookmarkEnd w:id="44"/>
    </w:p>
    <w:p w14:paraId="65B3E548">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color w:val="auto"/>
          <w:szCs w:val="21"/>
        </w:rPr>
        <w:t>1.1综合评分法，指投标文件满足招标文件全部实质性要求，且按照评审因素的量化指标评审得分最高的投标人为中标候选人的评标方法。</w:t>
      </w:r>
    </w:p>
    <w:p w14:paraId="2F007956">
      <w:pPr>
        <w:pStyle w:val="14"/>
        <w:keepNext w:val="0"/>
        <w:keepLines w:val="0"/>
        <w:adjustRightInd w:val="0"/>
        <w:snapToGrid w:val="0"/>
        <w:spacing w:beforeLines="50" w:after="0" w:line="360" w:lineRule="auto"/>
        <w:rPr>
          <w:rFonts w:ascii="黑体" w:hAnsi="黑体" w:eastAsia="黑体"/>
          <w:bCs w:val="0"/>
          <w:color w:val="auto"/>
          <w:sz w:val="24"/>
          <w:szCs w:val="24"/>
        </w:rPr>
      </w:pPr>
      <w:bookmarkStart w:id="45" w:name="_Toc30040"/>
      <w:r>
        <w:rPr>
          <w:rFonts w:hint="eastAsia" w:ascii="黑体" w:hAnsi="黑体" w:eastAsia="黑体"/>
          <w:bCs w:val="0"/>
          <w:color w:val="auto"/>
          <w:sz w:val="24"/>
          <w:szCs w:val="24"/>
        </w:rPr>
        <w:t>2．评标程序</w:t>
      </w:r>
      <w:bookmarkEnd w:id="45"/>
    </w:p>
    <w:p w14:paraId="3A47BF1A">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2.1评标程序分为投标文件符合性审查、澄清有关问题、比较和评价、推荐中标候选人。</w:t>
      </w:r>
    </w:p>
    <w:p w14:paraId="4B71C5E1">
      <w:pPr>
        <w:pStyle w:val="14"/>
        <w:keepNext w:val="0"/>
        <w:keepLines w:val="0"/>
        <w:adjustRightInd w:val="0"/>
        <w:snapToGrid w:val="0"/>
        <w:spacing w:beforeLines="50" w:after="0" w:line="360" w:lineRule="auto"/>
        <w:rPr>
          <w:rFonts w:ascii="黑体" w:hAnsi="黑体" w:eastAsia="黑体"/>
          <w:bCs w:val="0"/>
          <w:color w:val="auto"/>
          <w:sz w:val="24"/>
          <w:szCs w:val="24"/>
        </w:rPr>
      </w:pPr>
      <w:bookmarkStart w:id="46" w:name="_Toc23813"/>
      <w:r>
        <w:rPr>
          <w:rFonts w:hint="eastAsia" w:ascii="黑体" w:hAnsi="黑体" w:eastAsia="黑体"/>
          <w:bCs w:val="0"/>
          <w:color w:val="auto"/>
          <w:sz w:val="24"/>
          <w:szCs w:val="24"/>
        </w:rPr>
        <w:t>3．投标文件的符合性审查</w:t>
      </w:r>
      <w:bookmarkEnd w:id="46"/>
    </w:p>
    <w:p w14:paraId="3A07AD1B">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3.1资格审查结束后，评标委员会依法按照本章第三节“投标文件的符合性审查”规定进行投标文件符合性审查。</w:t>
      </w:r>
    </w:p>
    <w:p w14:paraId="6E823CBB">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3.2符合性审查合格投标人少于3家的，应予废标。</w:t>
      </w:r>
    </w:p>
    <w:p w14:paraId="47F86CB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3.3单一产品采购项目：提供相同品牌产品的不同投标人参加同一合同项下投标的，按一家投标人计算。提供不同品牌产品的投标人不足三家的，应予废标。</w:t>
      </w:r>
    </w:p>
    <w:p w14:paraId="0E806E01">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3.4非单一产品采购项目：采购人将在</w:t>
      </w:r>
      <w:r>
        <w:rPr>
          <w:rFonts w:hint="eastAsia" w:ascii="宋体" w:hAnsi="宋体"/>
          <w:b/>
          <w:color w:val="auto"/>
          <w:szCs w:val="21"/>
        </w:rPr>
        <w:t>【评标方法及标准前附表】</w:t>
      </w:r>
      <w:r>
        <w:rPr>
          <w:rFonts w:hint="eastAsia" w:ascii="宋体" w:hAnsi="宋体"/>
          <w:color w:val="auto"/>
          <w:szCs w:val="21"/>
        </w:rPr>
        <w:t>中载明核心产品。多家投标人提供的核心产品品牌相同的，视为相同品牌，按本章本节第3.3款规定处理。</w:t>
      </w:r>
    </w:p>
    <w:p w14:paraId="787DC25B">
      <w:pPr>
        <w:pStyle w:val="14"/>
        <w:keepNext w:val="0"/>
        <w:keepLines w:val="0"/>
        <w:adjustRightInd w:val="0"/>
        <w:snapToGrid w:val="0"/>
        <w:spacing w:beforeLines="50" w:after="0" w:line="360" w:lineRule="auto"/>
        <w:rPr>
          <w:rFonts w:ascii="黑体" w:hAnsi="黑体" w:eastAsia="黑体"/>
          <w:bCs w:val="0"/>
          <w:color w:val="auto"/>
          <w:sz w:val="24"/>
          <w:szCs w:val="24"/>
        </w:rPr>
      </w:pPr>
      <w:bookmarkStart w:id="47" w:name="_Toc30211"/>
      <w:r>
        <w:rPr>
          <w:rFonts w:hint="eastAsia" w:ascii="黑体" w:hAnsi="黑体" w:eastAsia="黑体"/>
          <w:bCs w:val="0"/>
          <w:color w:val="auto"/>
          <w:sz w:val="24"/>
          <w:szCs w:val="24"/>
        </w:rPr>
        <w:t>4．投标文件的澄清</w:t>
      </w:r>
      <w:bookmarkEnd w:id="47"/>
    </w:p>
    <w:p w14:paraId="50A7F620">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4.1对于投标文件中含义不明确、同类问题表述不一致或者有明显文字和计算错误的内容，评标委员会当场要求投标人作出必要的澄清、说明或者补正，采购人详细记录，并请作出澄清、说明或者补正的投标人法定代表人或其授权的代表签字确认。</w:t>
      </w:r>
    </w:p>
    <w:p w14:paraId="5545D9B0">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4.2投标文件的投标报价出现前后不一致的，除</w:t>
      </w:r>
      <w:r>
        <w:rPr>
          <w:rFonts w:hint="eastAsia" w:ascii="宋体" w:hAnsi="宋体"/>
          <w:b/>
          <w:color w:val="auto"/>
          <w:szCs w:val="21"/>
        </w:rPr>
        <w:t>【评标方法及标准前附表】</w:t>
      </w:r>
      <w:r>
        <w:rPr>
          <w:rFonts w:hint="eastAsia" w:ascii="宋体" w:hAnsi="宋体"/>
          <w:color w:val="auto"/>
          <w:szCs w:val="21"/>
        </w:rPr>
        <w:t>另有规定外，按照下列规定修正：</w:t>
      </w:r>
    </w:p>
    <w:p w14:paraId="73D33E54">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（1）投标文件中开标一览表内容与投标文件中相应内容不一致的，以开标一览表为准；</w:t>
      </w:r>
    </w:p>
    <w:p w14:paraId="0AFF828B">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（2）大写金额和小写金额不一致的，以大写金额为准；</w:t>
      </w:r>
    </w:p>
    <w:p w14:paraId="4140C766">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（3）单价金额小数点或者百分比有明显错位的，以开标一览表的总价为准，并修改单价；</w:t>
      </w:r>
    </w:p>
    <w:p w14:paraId="607A7A1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（4）总价金额与按单价汇总金额不一致的，以单价金额计算结果为准。</w:t>
      </w:r>
    </w:p>
    <w:p w14:paraId="4DCABC0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4.3投标文件报价同时出现两种以上不一致的，按照前款规定的顺序修正。修正后的报价由投标人代表签字或者加盖单位章确认后产生约束力，投标人不确认的，其投标无效。</w:t>
      </w:r>
    </w:p>
    <w:p w14:paraId="5FD875F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4.4投标人的澄清、说明或者补正应当由法定代表人或其授权的代表签字。投标人的澄清、说明或者补正不得超出投标文件的范围或者改变投标文件的实质性内容。</w:t>
      </w:r>
    </w:p>
    <w:p w14:paraId="0AB7F466">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4.5有效的书面澄清材料，是投标文件的补充材料，成为投标文件的组成部分。</w:t>
      </w:r>
    </w:p>
    <w:p w14:paraId="40B9CFFC">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29F7BE1C">
      <w:pPr>
        <w:pStyle w:val="14"/>
        <w:keepNext w:val="0"/>
        <w:keepLines w:val="0"/>
        <w:adjustRightInd w:val="0"/>
        <w:snapToGrid w:val="0"/>
        <w:spacing w:beforeLines="50" w:after="0" w:line="360" w:lineRule="auto"/>
        <w:rPr>
          <w:rFonts w:ascii="黑体" w:hAnsi="黑体" w:eastAsia="黑体"/>
          <w:bCs w:val="0"/>
          <w:color w:val="auto"/>
          <w:sz w:val="24"/>
          <w:szCs w:val="24"/>
        </w:rPr>
      </w:pPr>
      <w:bookmarkStart w:id="48" w:name="_Toc20583"/>
      <w:r>
        <w:rPr>
          <w:rFonts w:hint="eastAsia" w:ascii="黑体" w:hAnsi="黑体" w:eastAsia="黑体"/>
          <w:bCs w:val="0"/>
          <w:color w:val="auto"/>
          <w:sz w:val="24"/>
          <w:szCs w:val="24"/>
        </w:rPr>
        <w:t>5．投标文件的比较与评价</w:t>
      </w:r>
      <w:bookmarkEnd w:id="48"/>
    </w:p>
    <w:p w14:paraId="0E4130B6">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5.1评标委员会依法按照本章第三节“投标文件的比较与评价”规定，对资格性审查和符合性审查合格的投标文件进行比较和评价。</w:t>
      </w:r>
    </w:p>
    <w:p w14:paraId="745FFEB4">
      <w:pPr>
        <w:adjustRightInd w:val="0"/>
        <w:snapToGrid w:val="0"/>
        <w:spacing w:beforeLines="50" w:line="360" w:lineRule="auto"/>
        <w:ind w:firstLine="420" w:firstLineChars="200"/>
        <w:jc w:val="left"/>
        <w:rPr>
          <w:rFonts w:ascii="宋体" w:hAnsi="宋体"/>
          <w:color w:val="auto"/>
          <w:szCs w:val="21"/>
        </w:rPr>
      </w:pPr>
      <w:r>
        <w:rPr>
          <w:rFonts w:hint="eastAsia" w:ascii="宋体" w:hAnsi="宋体"/>
          <w:bCs/>
          <w:color w:val="auto"/>
          <w:szCs w:val="21"/>
        </w:rPr>
        <w:t>5.2单一产品采购项目：</w:t>
      </w:r>
      <w:r>
        <w:rPr>
          <w:rFonts w:hint="eastAsia" w:ascii="宋体" w:hAnsi="宋体"/>
          <w:color w:val="auto"/>
          <w:szCs w:val="21"/>
        </w:rPr>
        <w:t>提供相同品牌产品且通过资格审查、符合性审查的不同投标人参加同一合同项下投标的，评审后得分最高的同品牌投标人获得中标人推荐资格；评审得分相同的，按照</w:t>
      </w:r>
      <w:r>
        <w:rPr>
          <w:rFonts w:hint="eastAsia" w:ascii="宋体" w:hAnsi="宋体"/>
          <w:b/>
          <w:color w:val="auto"/>
          <w:szCs w:val="21"/>
        </w:rPr>
        <w:t>【评标方法及标准前附表】</w:t>
      </w:r>
      <w:r>
        <w:rPr>
          <w:rFonts w:hint="eastAsia" w:ascii="宋体" w:hAnsi="宋体"/>
          <w:color w:val="auto"/>
          <w:szCs w:val="21"/>
        </w:rPr>
        <w:t>规定的方式确定一个投标人获得中标人推荐资格，招标文件未规定的采取随机抽取方式确定，其他同品牌投标人</w:t>
      </w:r>
      <w:r>
        <w:rPr>
          <w:rFonts w:hint="eastAsia" w:ascii="宋体" w:hAnsi="宋体"/>
          <w:b/>
          <w:color w:val="auto"/>
          <w:szCs w:val="21"/>
        </w:rPr>
        <w:t>不作为中标候选人</w:t>
      </w:r>
      <w:r>
        <w:rPr>
          <w:rFonts w:hint="eastAsia" w:ascii="宋体" w:hAnsi="宋体"/>
          <w:color w:val="auto"/>
          <w:szCs w:val="21"/>
        </w:rPr>
        <w:t>。</w:t>
      </w:r>
    </w:p>
    <w:p w14:paraId="7874CB29">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5.3非单一产品采购项目：多家投标人提供的核心产品品牌相同的，视为相同品牌，按本章本节第 5.2 款规定处理。</w:t>
      </w:r>
    </w:p>
    <w:p w14:paraId="77228188">
      <w:pPr>
        <w:pStyle w:val="14"/>
        <w:keepNext w:val="0"/>
        <w:keepLines w:val="0"/>
        <w:adjustRightInd w:val="0"/>
        <w:snapToGrid w:val="0"/>
        <w:spacing w:beforeLines="50" w:after="0" w:line="360" w:lineRule="auto"/>
        <w:rPr>
          <w:rFonts w:ascii="黑体" w:hAnsi="黑体" w:eastAsia="黑体"/>
          <w:color w:val="auto"/>
          <w:sz w:val="24"/>
          <w:szCs w:val="24"/>
        </w:rPr>
      </w:pPr>
      <w:bookmarkStart w:id="49" w:name="_Toc20695"/>
      <w:r>
        <w:rPr>
          <w:rFonts w:hint="eastAsia" w:ascii="黑体" w:hAnsi="黑体" w:eastAsia="黑体"/>
          <w:bCs w:val="0"/>
          <w:color w:val="auto"/>
          <w:sz w:val="24"/>
          <w:szCs w:val="24"/>
        </w:rPr>
        <w:t>6．</w:t>
      </w:r>
      <w:r>
        <w:rPr>
          <w:rFonts w:hint="eastAsia" w:ascii="黑体" w:hAnsi="黑体" w:eastAsia="黑体"/>
          <w:color w:val="auto"/>
          <w:sz w:val="24"/>
          <w:szCs w:val="24"/>
        </w:rPr>
        <w:t>推荐中标候选人</w:t>
      </w:r>
      <w:bookmarkEnd w:id="49"/>
    </w:p>
    <w:p w14:paraId="0EBC6D25">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6.1综合评分法：评标结果按评审后得分由高到低顺序排列。得分相同的，按投标报价由低到高顺序排列。得分且投标报价相同的并列，按</w:t>
      </w:r>
      <w:r>
        <w:rPr>
          <w:rFonts w:hint="eastAsia" w:ascii="宋体" w:hAnsi="宋体"/>
          <w:b/>
          <w:bCs/>
          <w:color w:val="auto"/>
          <w:szCs w:val="21"/>
        </w:rPr>
        <w:t>【评标方法及标准前附表】</w:t>
      </w:r>
      <w:r>
        <w:rPr>
          <w:rFonts w:hint="eastAsia" w:ascii="宋体" w:hAnsi="宋体"/>
          <w:bCs/>
          <w:color w:val="auto"/>
          <w:szCs w:val="21"/>
        </w:rPr>
        <w:t>规定的方式确定中标人；招标文件未规定的，采取随机抽取的方式确定。</w:t>
      </w:r>
    </w:p>
    <w:p w14:paraId="57F6DD07">
      <w:pPr>
        <w:pStyle w:val="14"/>
        <w:keepNext w:val="0"/>
        <w:keepLines w:val="0"/>
        <w:adjustRightInd w:val="0"/>
        <w:snapToGrid w:val="0"/>
        <w:spacing w:beforeLines="50" w:after="0" w:line="360" w:lineRule="auto"/>
        <w:rPr>
          <w:rFonts w:ascii="黑体" w:hAnsi="黑体" w:eastAsia="黑体"/>
          <w:color w:val="auto"/>
          <w:sz w:val="24"/>
          <w:szCs w:val="24"/>
        </w:rPr>
      </w:pPr>
      <w:bookmarkStart w:id="50" w:name="_Toc24996"/>
      <w:r>
        <w:rPr>
          <w:rFonts w:hint="eastAsia" w:ascii="黑体" w:hAnsi="黑体" w:eastAsia="黑体"/>
          <w:bCs w:val="0"/>
          <w:color w:val="auto"/>
          <w:sz w:val="24"/>
          <w:szCs w:val="24"/>
        </w:rPr>
        <w:t>7．</w:t>
      </w:r>
      <w:r>
        <w:rPr>
          <w:rFonts w:hint="eastAsia" w:ascii="黑体" w:hAnsi="黑体" w:eastAsia="黑体"/>
          <w:color w:val="auto"/>
          <w:sz w:val="24"/>
          <w:szCs w:val="24"/>
        </w:rPr>
        <w:t>编写评标报告</w:t>
      </w:r>
      <w:bookmarkEnd w:id="50"/>
    </w:p>
    <w:p w14:paraId="0C38313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7.1评标</w:t>
      </w:r>
      <w:r>
        <w:rPr>
          <w:rFonts w:hint="eastAsia" w:ascii="宋体" w:hAnsi="宋体"/>
          <w:bCs/>
          <w:color w:val="auto"/>
          <w:szCs w:val="21"/>
        </w:rPr>
        <w:t>委员会</w:t>
      </w:r>
      <w:r>
        <w:rPr>
          <w:rFonts w:hint="eastAsia" w:ascii="宋体" w:hAnsi="宋体"/>
          <w:color w:val="auto"/>
          <w:szCs w:val="21"/>
        </w:rPr>
        <w:t>根据全体评标成员签字的原始评标记录和评标结果编写评标报告。</w:t>
      </w:r>
    </w:p>
    <w:p w14:paraId="3842A870">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color w:val="auto"/>
          <w:szCs w:val="21"/>
        </w:rPr>
        <w:t>7.2</w:t>
      </w:r>
      <w:r>
        <w:rPr>
          <w:rFonts w:hint="eastAsia" w:ascii="宋体" w:hAnsi="宋体"/>
          <w:bCs/>
          <w:color w:val="auto"/>
          <w:szCs w:val="21"/>
        </w:rPr>
        <w:t>评标委员会成员对需要共同认定的事项存在争议的，应当按照少数服从多数的原则作出结论。持不同意见的评标委员会成员应当在评标报告上签署不同意见及理由，否则视为同意评标报告。</w:t>
      </w:r>
    </w:p>
    <w:p w14:paraId="73D580C3">
      <w:pPr>
        <w:pStyle w:val="14"/>
        <w:keepNext w:val="0"/>
        <w:keepLines w:val="0"/>
        <w:adjustRightInd w:val="0"/>
        <w:snapToGrid w:val="0"/>
        <w:spacing w:beforeLines="50" w:after="0" w:line="360" w:lineRule="auto"/>
        <w:rPr>
          <w:rFonts w:ascii="黑体" w:hAnsi="黑体" w:eastAsia="黑体"/>
          <w:bCs w:val="0"/>
          <w:color w:val="auto"/>
          <w:sz w:val="24"/>
          <w:szCs w:val="24"/>
        </w:rPr>
      </w:pPr>
      <w:bookmarkStart w:id="51" w:name="_Toc30227"/>
      <w:r>
        <w:rPr>
          <w:rFonts w:hint="eastAsia" w:ascii="黑体" w:hAnsi="黑体" w:eastAsia="黑体"/>
          <w:bCs w:val="0"/>
          <w:color w:val="auto"/>
          <w:sz w:val="24"/>
          <w:szCs w:val="24"/>
        </w:rPr>
        <w:t>8．</w:t>
      </w:r>
      <w:r>
        <w:rPr>
          <w:rFonts w:hint="eastAsia" w:ascii="黑体" w:hAnsi="黑体" w:eastAsia="黑体"/>
          <w:color w:val="auto"/>
          <w:sz w:val="24"/>
          <w:szCs w:val="24"/>
        </w:rPr>
        <w:t>评标报告</w:t>
      </w:r>
      <w:r>
        <w:rPr>
          <w:rFonts w:hint="eastAsia" w:ascii="黑体" w:hAnsi="黑体" w:eastAsia="黑体"/>
          <w:bCs w:val="0"/>
          <w:color w:val="auto"/>
          <w:sz w:val="24"/>
          <w:szCs w:val="24"/>
        </w:rPr>
        <w:t>复核</w:t>
      </w:r>
      <w:bookmarkEnd w:id="51"/>
    </w:p>
    <w:p w14:paraId="36707125">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8.1汇总结束后，评标委员会应当进行复核，特别要对拟推荐为中标候选供应商的、报价最低的、投标文件被认定为无效的进行重点复核。</w:t>
      </w:r>
    </w:p>
    <w:p w14:paraId="56B8E2A5">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8.2汇总完成后，除下列情形外，任何人不得修改评标结果：</w:t>
      </w:r>
    </w:p>
    <w:p w14:paraId="5E317735">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（1）分值汇总计算错误的；</w:t>
      </w:r>
    </w:p>
    <w:p w14:paraId="7D400981">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（2）分项评分超出评分标准范围的；</w:t>
      </w:r>
    </w:p>
    <w:p w14:paraId="10FE0724">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（3）评标委员会成员对客观评审因素评分不一致的；</w:t>
      </w:r>
    </w:p>
    <w:p w14:paraId="67F26943">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（4）经评标委员会认定评分畸高、畸低的。</w:t>
      </w:r>
    </w:p>
    <w:p w14:paraId="52FE56F5">
      <w:pPr>
        <w:adjustRightInd w:val="0"/>
        <w:snapToGrid w:val="0"/>
        <w:spacing w:beforeLines="50" w:line="360" w:lineRule="auto"/>
        <w:ind w:firstLine="420" w:firstLineChars="200"/>
        <w:jc w:val="left"/>
        <w:rPr>
          <w:rFonts w:ascii="宋体" w:hAnsi="宋体"/>
          <w:b/>
          <w:bCs/>
          <w:color w:val="auto"/>
          <w:szCs w:val="21"/>
        </w:rPr>
      </w:pPr>
      <w:r>
        <w:rPr>
          <w:rFonts w:hint="eastAsia" w:ascii="宋体" w:hAnsi="宋体"/>
          <w:bCs/>
          <w:color w:val="auto"/>
          <w:szCs w:val="21"/>
        </w:rPr>
        <w:t>8.3评标报告签署前，经复核发现存在以上情形之一的，评标委员会应当当场修改评标结果，并在评标报告中记载；评标报告签署后，采购人发现存在以上情形之一的，应当组织原评标委员会进行重新评审。重新评审改变评标结果的，进行书面报告。</w:t>
      </w:r>
    </w:p>
    <w:p w14:paraId="7CAB9547">
      <w:pPr>
        <w:pStyle w:val="14"/>
        <w:keepNext w:val="0"/>
        <w:keepLines w:val="0"/>
        <w:adjustRightInd w:val="0"/>
        <w:snapToGrid w:val="0"/>
        <w:spacing w:beforeLines="50" w:after="0" w:line="360" w:lineRule="auto"/>
        <w:rPr>
          <w:rFonts w:ascii="黑体" w:hAnsi="黑体" w:eastAsia="黑体"/>
          <w:bCs w:val="0"/>
          <w:color w:val="auto"/>
          <w:sz w:val="24"/>
          <w:szCs w:val="24"/>
        </w:rPr>
      </w:pPr>
      <w:bookmarkStart w:id="52" w:name="_Toc11442"/>
      <w:r>
        <w:rPr>
          <w:rFonts w:hint="eastAsia" w:ascii="黑体" w:hAnsi="黑体" w:eastAsia="黑体"/>
          <w:color w:val="auto"/>
          <w:sz w:val="24"/>
          <w:szCs w:val="24"/>
        </w:rPr>
        <w:t>9．</w:t>
      </w:r>
      <w:r>
        <w:rPr>
          <w:rFonts w:hint="eastAsia" w:ascii="黑体" w:hAnsi="黑体" w:eastAsia="黑体"/>
          <w:bCs w:val="0"/>
          <w:color w:val="auto"/>
          <w:sz w:val="24"/>
          <w:szCs w:val="24"/>
        </w:rPr>
        <w:t>停止评标</w:t>
      </w:r>
      <w:bookmarkEnd w:id="52"/>
    </w:p>
    <w:p w14:paraId="5DBD2957">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bCs/>
          <w:color w:val="auto"/>
          <w:szCs w:val="21"/>
        </w:rPr>
        <w:t>9.1</w:t>
      </w:r>
      <w:r>
        <w:rPr>
          <w:rFonts w:hint="eastAsia" w:ascii="宋体" w:hAnsi="宋体" w:cs="宋体"/>
          <w:color w:val="auto"/>
          <w:kern w:val="0"/>
          <w:szCs w:val="21"/>
        </w:rPr>
        <w:t>评标委员会发现招标文件存在歧义、重大缺陷导致评标工作无法进行，或者招标文件内容违反国家有关强制性规定的，应当停止评标工作，与采购人沟通并作书面记录。采购人确认后，应当修改招标文件，重新组织询价比选活动。</w:t>
      </w:r>
    </w:p>
    <w:p w14:paraId="22420965">
      <w:pPr>
        <w:pStyle w:val="14"/>
        <w:keepNext w:val="0"/>
        <w:keepLines w:val="0"/>
        <w:adjustRightInd w:val="0"/>
        <w:snapToGrid w:val="0"/>
        <w:spacing w:beforeLines="50" w:after="0" w:line="360" w:lineRule="auto"/>
        <w:rPr>
          <w:rFonts w:ascii="黑体" w:hAnsi="黑体" w:eastAsia="黑体"/>
          <w:color w:val="auto"/>
          <w:sz w:val="24"/>
          <w:szCs w:val="24"/>
        </w:rPr>
      </w:pPr>
      <w:bookmarkStart w:id="53" w:name="_Toc5062"/>
      <w:r>
        <w:rPr>
          <w:rFonts w:hint="eastAsia" w:ascii="黑体" w:hAnsi="黑体" w:eastAsia="黑体"/>
          <w:color w:val="auto"/>
          <w:sz w:val="24"/>
          <w:szCs w:val="24"/>
        </w:rPr>
        <w:t>10</w:t>
      </w:r>
      <w:r>
        <w:rPr>
          <w:rFonts w:hint="eastAsia" w:ascii="黑体" w:hAnsi="黑体" w:eastAsia="黑体" w:cs="宋体"/>
          <w:color w:val="auto"/>
          <w:kern w:val="0"/>
          <w:sz w:val="24"/>
          <w:szCs w:val="24"/>
        </w:rPr>
        <w:t>．</w:t>
      </w:r>
      <w:r>
        <w:rPr>
          <w:rFonts w:hint="eastAsia" w:ascii="黑体" w:hAnsi="黑体" w:eastAsia="黑体"/>
          <w:color w:val="auto"/>
          <w:sz w:val="24"/>
          <w:szCs w:val="24"/>
        </w:rPr>
        <w:t>废标</w:t>
      </w:r>
      <w:bookmarkEnd w:id="53"/>
    </w:p>
    <w:p w14:paraId="6F03B301">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10.1 根据有关法律法规和招标文件的有关规定，如出现下列情况之一的，应予以废标：</w:t>
      </w:r>
    </w:p>
    <w:p w14:paraId="4EE87E37">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（1）符合专业条件的投标人或者对招标文件作实质响应的投标人不足三家的；</w:t>
      </w:r>
    </w:p>
    <w:p w14:paraId="777F8A6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（2）出现影响采购公正的违法、违规行为的；</w:t>
      </w:r>
    </w:p>
    <w:p w14:paraId="105DA4D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（3）投标人的报价均超过采购项目预算，采购人不能支付的；</w:t>
      </w:r>
    </w:p>
    <w:p w14:paraId="79C34B2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（4）因重大变故，采购任务取消的。</w:t>
      </w:r>
    </w:p>
    <w:p w14:paraId="63B4F0ED">
      <w:pPr>
        <w:pStyle w:val="14"/>
        <w:keepNext w:val="0"/>
        <w:keepLines w:val="0"/>
        <w:adjustRightInd w:val="0"/>
        <w:snapToGrid w:val="0"/>
        <w:spacing w:beforeLines="50" w:after="0" w:line="360" w:lineRule="auto"/>
        <w:rPr>
          <w:rFonts w:ascii="黑体" w:hAnsi="黑体" w:eastAsia="黑体"/>
          <w:bCs w:val="0"/>
          <w:color w:val="auto"/>
          <w:sz w:val="24"/>
          <w:szCs w:val="24"/>
        </w:rPr>
      </w:pPr>
      <w:bookmarkStart w:id="54" w:name="_Toc18850"/>
      <w:r>
        <w:rPr>
          <w:rFonts w:hint="eastAsia" w:ascii="黑体" w:hAnsi="黑体" w:eastAsia="黑体" w:cs="宋体"/>
          <w:color w:val="auto"/>
          <w:kern w:val="0"/>
          <w:sz w:val="24"/>
          <w:szCs w:val="24"/>
        </w:rPr>
        <w:t>11．重新组建评标委员会进行评标</w:t>
      </w:r>
      <w:bookmarkEnd w:id="54"/>
    </w:p>
    <w:p w14:paraId="422E794B">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11.1评标委员会或者其成员存在下列情形导致评标结果无效的，采购人可以重新组建评标委员会进行评标，但采购合同已经履行的除外：</w:t>
      </w:r>
    </w:p>
    <w:p w14:paraId="2A57C20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（1）评标委员会组成不符合《政府采购货物和服务招标投标管理办法》规定的；</w:t>
      </w:r>
    </w:p>
    <w:p w14:paraId="44EE85BB">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（2）有《政府采购货物和服务招标投标管理办法》第六十二条第一至五项情形的；</w:t>
      </w:r>
    </w:p>
    <w:p w14:paraId="7E6F423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（3）评标委员会及其成员独立评标受到非法干预的；</w:t>
      </w:r>
    </w:p>
    <w:p w14:paraId="1EF1E7E2">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（4）有政府采购法实施条例第七十五条规定的违法行为的。</w:t>
      </w:r>
    </w:p>
    <w:p w14:paraId="479079B9">
      <w:pPr>
        <w:adjustRightInd w:val="0"/>
        <w:snapToGrid w:val="0"/>
        <w:spacing w:beforeLines="50" w:line="360" w:lineRule="auto"/>
        <w:ind w:firstLine="420" w:firstLineChars="200"/>
        <w:jc w:val="left"/>
        <w:rPr>
          <w:rFonts w:ascii="黑体" w:hAnsi="华文中宋" w:eastAsia="黑体"/>
          <w:b/>
          <w:color w:val="auto"/>
          <w:sz w:val="13"/>
          <w:szCs w:val="13"/>
        </w:rPr>
      </w:pPr>
      <w:r>
        <w:rPr>
          <w:rFonts w:hint="eastAsia" w:ascii="宋体" w:hAnsi="宋体"/>
          <w:color w:val="auto"/>
          <w:szCs w:val="21"/>
        </w:rPr>
        <w:t>11.2有违法违规行为的原评标委员会成员不得参加重新组建的评标委员会。</w:t>
      </w:r>
      <w:r>
        <w:rPr>
          <w:rFonts w:ascii="黑体" w:hAnsi="华文中宋" w:eastAsia="黑体"/>
          <w:b/>
          <w:color w:val="auto"/>
          <w:sz w:val="32"/>
          <w:szCs w:val="32"/>
        </w:rPr>
        <w:br w:type="page"/>
      </w:r>
    </w:p>
    <w:p w14:paraId="00DA645D">
      <w:pPr>
        <w:pStyle w:val="13"/>
        <w:adjustRightInd w:val="0"/>
        <w:snapToGrid w:val="0"/>
        <w:jc w:val="center"/>
        <w:rPr>
          <w:rFonts w:ascii="黑体" w:hAnsi="华文中宋" w:eastAsia="黑体"/>
          <w:color w:val="auto"/>
          <w:sz w:val="28"/>
          <w:szCs w:val="28"/>
        </w:rPr>
      </w:pPr>
      <w:bookmarkStart w:id="55" w:name="_Toc4819"/>
      <w:bookmarkStart w:id="56" w:name="_Toc755"/>
      <w:r>
        <w:rPr>
          <w:rFonts w:hint="eastAsia" w:ascii="黑体" w:hAnsi="华文中宋" w:eastAsia="黑体"/>
          <w:color w:val="auto"/>
          <w:sz w:val="28"/>
          <w:szCs w:val="28"/>
        </w:rPr>
        <w:t>第三节 投标文件的符合性审查</w:t>
      </w:r>
      <w:bookmarkEnd w:id="55"/>
      <w:bookmarkEnd w:id="56"/>
    </w:p>
    <w:p w14:paraId="7927ACB3">
      <w:pPr>
        <w:adjustRightInd w:val="0"/>
        <w:snapToGrid w:val="0"/>
        <w:spacing w:beforeLines="50" w:line="360" w:lineRule="auto"/>
        <w:rPr>
          <w:rFonts w:ascii="黑体" w:hAnsi="黑体" w:eastAsia="黑体"/>
          <w:b/>
          <w:color w:val="auto"/>
          <w:sz w:val="24"/>
        </w:rPr>
      </w:pPr>
      <w:r>
        <w:rPr>
          <w:rFonts w:hint="eastAsia" w:ascii="黑体" w:hAnsi="黑体" w:eastAsia="黑体"/>
          <w:b/>
          <w:color w:val="auto"/>
          <w:sz w:val="24"/>
        </w:rPr>
        <w:t>1.符合性审查</w:t>
      </w:r>
    </w:p>
    <w:p w14:paraId="5BD38642">
      <w:pPr>
        <w:adjustRightInd w:val="0"/>
        <w:snapToGrid w:val="0"/>
        <w:spacing w:beforeLines="50" w:line="360" w:lineRule="auto"/>
        <w:ind w:firstLine="420" w:firstLineChars="200"/>
        <w:rPr>
          <w:rFonts w:ascii="宋体" w:hAnsi="宋体"/>
          <w:color w:val="auto"/>
        </w:rPr>
      </w:pPr>
      <w:r>
        <w:rPr>
          <w:rFonts w:hint="eastAsia" w:ascii="宋体" w:hAnsi="宋体"/>
          <w:color w:val="auto"/>
        </w:rPr>
        <w:t>1.1</w:t>
      </w:r>
      <w:r>
        <w:rPr>
          <w:rFonts w:hint="eastAsia" w:ascii="宋体" w:hAnsi="宋体"/>
          <w:color w:val="auto"/>
          <w:szCs w:val="21"/>
        </w:rPr>
        <w:t>评标委员会应按本章本节附表1“符合性审查表”所列审查项目及审查标准，</w:t>
      </w:r>
      <w:r>
        <w:rPr>
          <w:rFonts w:hint="eastAsia" w:ascii="宋体" w:hAnsi="宋体"/>
          <w:color w:val="auto"/>
        </w:rPr>
        <w:t>对符合资格条件的投标人的投标文件进行符合性审查，以确定其是否满足招标文件的实质性要求。</w:t>
      </w:r>
    </w:p>
    <w:p w14:paraId="0621E04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7C0E1738">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（2）投标人不得通过修正或撤销不合要求的偏离从而使其投标成为实质上响应的投标。</w:t>
      </w:r>
    </w:p>
    <w:p w14:paraId="1419BBD5">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kern w:val="0"/>
          <w:szCs w:val="21"/>
        </w:rPr>
        <w:t>1.2</w:t>
      </w:r>
      <w:r>
        <w:rPr>
          <w:rFonts w:hint="eastAsia" w:ascii="宋体" w:hAnsi="宋体"/>
          <w:color w:val="auto"/>
        </w:rPr>
        <w:t>未通过符合性审查的投标人，其投标将被认定为投标无效，不能进入下一阶段评审。通过符合性审查的投标人数量不足 3 家的，不得作进一步的比较和评价。</w:t>
      </w:r>
    </w:p>
    <w:p w14:paraId="3A035AF1">
      <w:pPr>
        <w:adjustRightInd w:val="0"/>
        <w:snapToGrid w:val="0"/>
        <w:spacing w:beforeLines="50" w:line="360" w:lineRule="auto"/>
        <w:jc w:val="left"/>
        <w:rPr>
          <w:rFonts w:ascii="黑体" w:hAnsi="黑体" w:eastAsia="黑体"/>
          <w:b/>
          <w:color w:val="auto"/>
          <w:sz w:val="24"/>
        </w:rPr>
      </w:pPr>
      <w:r>
        <w:rPr>
          <w:rFonts w:hint="eastAsia" w:ascii="黑体" w:hAnsi="黑体" w:eastAsia="黑体"/>
          <w:b/>
          <w:color w:val="auto"/>
          <w:sz w:val="24"/>
        </w:rPr>
        <w:t>2.投标无效</w:t>
      </w:r>
    </w:p>
    <w:p w14:paraId="16648490">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2.1投标人存在下列情况之一的，符合性审查不合格，投标无效：</w:t>
      </w:r>
    </w:p>
    <w:p w14:paraId="079654F3">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（1）投标文件中商务技术文件未按照招标文件规定要求签署、盖章的；</w:t>
      </w:r>
    </w:p>
    <w:p w14:paraId="0C88781A">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（2）投标文件没有对招标文件的实质性要求和条件作出响应，或者对招标文件的偏离超出招标文件规定的偏离</w:t>
      </w:r>
      <w:r>
        <w:rPr>
          <w:rFonts w:hint="eastAsia" w:ascii="宋体" w:hAnsi="宋体"/>
          <w:color w:val="auto"/>
        </w:rPr>
        <w:t>范围和幅度</w:t>
      </w:r>
      <w:r>
        <w:rPr>
          <w:rFonts w:hint="eastAsia" w:ascii="宋体" w:hAnsi="宋体"/>
          <w:color w:val="auto"/>
          <w:szCs w:val="21"/>
        </w:rPr>
        <w:t>；</w:t>
      </w:r>
    </w:p>
    <w:p w14:paraId="151DE24F">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（3）投标有效期不足的；</w:t>
      </w:r>
    </w:p>
    <w:p w14:paraId="5A9DF0A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（4）投标文件含有采购人不能接受的附加条件的；</w:t>
      </w:r>
    </w:p>
    <w:p w14:paraId="5ACA1C6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（5）不符合本节第1.1款规定符合性审查标准的；</w:t>
      </w:r>
    </w:p>
    <w:p w14:paraId="1668E671">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（6）法律、法规和招标文件规定的其他投标无效情形的。</w:t>
      </w:r>
    </w:p>
    <w:p w14:paraId="2BA9EDA9">
      <w:pPr>
        <w:adjustRightInd w:val="0"/>
        <w:snapToGrid w:val="0"/>
        <w:spacing w:beforeLines="50" w:line="360" w:lineRule="auto"/>
        <w:ind w:firstLine="420" w:firstLineChars="200"/>
        <w:jc w:val="left"/>
        <w:rPr>
          <w:rFonts w:ascii="宋体" w:hAnsi="宋体"/>
          <w:color w:val="auto"/>
          <w:kern w:val="0"/>
          <w:szCs w:val="21"/>
        </w:rPr>
      </w:pPr>
      <w:r>
        <w:rPr>
          <w:rFonts w:hint="eastAsia" w:ascii="宋体" w:hAnsi="宋体"/>
          <w:color w:val="auto"/>
          <w:kern w:val="0"/>
          <w:szCs w:val="21"/>
        </w:rPr>
        <w:t>2.2在评标过程中发现投标人有不遵循公平竞争的原则，恶意串通，妨碍其他投标人的竞争行为，损害采购人或者其他投标人的合法权益的，评标委员会应当认定其</w:t>
      </w:r>
      <w:r>
        <w:rPr>
          <w:rFonts w:hint="eastAsia" w:ascii="宋体" w:hAnsi="宋体"/>
          <w:b/>
          <w:color w:val="auto"/>
          <w:kern w:val="0"/>
          <w:szCs w:val="21"/>
        </w:rPr>
        <w:t>投标无效</w:t>
      </w:r>
      <w:r>
        <w:rPr>
          <w:rFonts w:hint="eastAsia" w:ascii="宋体" w:hAnsi="宋体"/>
          <w:color w:val="auto"/>
          <w:kern w:val="0"/>
          <w:szCs w:val="21"/>
        </w:rPr>
        <w:t>，并形成书面材料。</w:t>
      </w:r>
    </w:p>
    <w:p w14:paraId="32BF3877">
      <w:pPr>
        <w:rPr>
          <w:color w:val="auto"/>
        </w:rPr>
      </w:pPr>
    </w:p>
    <w:p w14:paraId="30B1DE67">
      <w:pPr>
        <w:rPr>
          <w:color w:val="auto"/>
        </w:rPr>
      </w:pPr>
    </w:p>
    <w:p w14:paraId="71FA3241">
      <w:pPr>
        <w:widowControl/>
        <w:jc w:val="left"/>
        <w:rPr>
          <w:rFonts w:ascii="黑体" w:hAnsi="黑体"/>
          <w:b/>
          <w:color w:val="auto"/>
          <w:sz w:val="10"/>
          <w:szCs w:val="10"/>
        </w:rPr>
      </w:pPr>
      <w:r>
        <w:rPr>
          <w:rFonts w:ascii="黑体" w:hAnsi="黑体"/>
          <w:b/>
          <w:color w:val="auto"/>
          <w:szCs w:val="21"/>
        </w:rPr>
        <w:br w:type="page"/>
      </w:r>
    </w:p>
    <w:p w14:paraId="62D3D43A">
      <w:pPr>
        <w:pStyle w:val="14"/>
        <w:adjustRightInd w:val="0"/>
        <w:snapToGrid w:val="0"/>
        <w:spacing w:beforeLines="50" w:after="0" w:line="360" w:lineRule="auto"/>
        <w:rPr>
          <w:rFonts w:ascii="黑体" w:hAnsi="黑体" w:eastAsia="黑体" w:cs="黑体"/>
          <w:b w:val="0"/>
          <w:bCs w:val="0"/>
          <w:color w:val="auto"/>
          <w:sz w:val="21"/>
          <w:szCs w:val="21"/>
        </w:rPr>
      </w:pPr>
      <w:bookmarkStart w:id="57" w:name="_Toc12740"/>
      <w:r>
        <w:rPr>
          <w:rFonts w:hint="eastAsia" w:ascii="黑体" w:hAnsi="黑体" w:eastAsia="黑体" w:cs="黑体"/>
          <w:b w:val="0"/>
          <w:bCs w:val="0"/>
          <w:color w:val="auto"/>
          <w:sz w:val="21"/>
          <w:szCs w:val="21"/>
        </w:rPr>
        <w:t>附表1 符合性审查表</w:t>
      </w:r>
      <w:bookmarkEnd w:id="57"/>
    </w:p>
    <w:p w14:paraId="305F3AA2">
      <w:pPr>
        <w:adjustRightInd w:val="0"/>
        <w:snapToGrid w:val="0"/>
        <w:spacing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符合性审查表</w:t>
      </w:r>
    </w:p>
    <w:p w14:paraId="48B2401F">
      <w:pPr>
        <w:adjustRightInd w:val="0"/>
        <w:snapToGrid w:val="0"/>
        <w:spacing w:beforeLines="50" w:line="360" w:lineRule="auto"/>
        <w:rPr>
          <w:rFonts w:ascii="宋体" w:hAnsi="宋体"/>
          <w:color w:val="auto"/>
          <w:szCs w:val="21"/>
        </w:rPr>
      </w:pPr>
      <w:r>
        <w:rPr>
          <w:rFonts w:hint="eastAsia" w:ascii="宋体" w:hAnsi="宋体"/>
          <w:color w:val="auto"/>
          <w:szCs w:val="21"/>
        </w:rPr>
        <w:t xml:space="preserve">项目名称：                                           </w:t>
      </w:r>
    </w:p>
    <w:tbl>
      <w:tblPr>
        <w:tblStyle w:val="31"/>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2686"/>
        <w:gridCol w:w="5691"/>
      </w:tblGrid>
      <w:tr w14:paraId="5070B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ign w:val="center"/>
          </w:tcPr>
          <w:p w14:paraId="10BA6BC4">
            <w:pPr>
              <w:adjustRightInd w:val="0"/>
              <w:snapToGrid w:val="0"/>
              <w:spacing w:beforeLines="50" w:line="360" w:lineRule="auto"/>
              <w:jc w:val="center"/>
              <w:rPr>
                <w:rFonts w:ascii="宋体" w:hAnsi="宋体" w:cs="宋体"/>
                <w:b/>
                <w:color w:val="auto"/>
                <w:kern w:val="0"/>
                <w:szCs w:val="21"/>
              </w:rPr>
            </w:pPr>
            <w:r>
              <w:rPr>
                <w:rFonts w:hint="eastAsia" w:ascii="宋体" w:hAnsi="宋体" w:cs="宋体"/>
                <w:b/>
                <w:color w:val="auto"/>
                <w:kern w:val="0"/>
                <w:szCs w:val="21"/>
              </w:rPr>
              <w:t>序号</w:t>
            </w:r>
          </w:p>
        </w:tc>
        <w:tc>
          <w:tcPr>
            <w:tcW w:w="2686" w:type="dxa"/>
            <w:noWrap/>
            <w:vAlign w:val="center"/>
          </w:tcPr>
          <w:p w14:paraId="4B0DD8E4">
            <w:pPr>
              <w:adjustRightInd w:val="0"/>
              <w:snapToGrid w:val="0"/>
              <w:spacing w:beforeLines="50" w:line="360" w:lineRule="auto"/>
              <w:jc w:val="center"/>
              <w:rPr>
                <w:rFonts w:ascii="宋体" w:hAnsi="宋体" w:cs="宋体"/>
                <w:b/>
                <w:color w:val="auto"/>
                <w:kern w:val="0"/>
                <w:szCs w:val="21"/>
              </w:rPr>
            </w:pPr>
            <w:r>
              <w:rPr>
                <w:rFonts w:hint="eastAsia" w:ascii="宋体" w:hAnsi="宋体" w:cs="宋体"/>
                <w:b/>
                <w:color w:val="auto"/>
                <w:kern w:val="0"/>
                <w:szCs w:val="21"/>
              </w:rPr>
              <w:t>审查项目</w:t>
            </w:r>
          </w:p>
        </w:tc>
        <w:tc>
          <w:tcPr>
            <w:tcW w:w="5691" w:type="dxa"/>
            <w:noWrap/>
            <w:vAlign w:val="center"/>
          </w:tcPr>
          <w:p w14:paraId="518D70B0">
            <w:pPr>
              <w:adjustRightInd w:val="0"/>
              <w:snapToGrid w:val="0"/>
              <w:spacing w:beforeLines="50" w:line="360" w:lineRule="auto"/>
              <w:jc w:val="center"/>
              <w:rPr>
                <w:rFonts w:ascii="宋体" w:hAnsi="宋体" w:cs="宋体"/>
                <w:b/>
                <w:color w:val="auto"/>
                <w:kern w:val="0"/>
                <w:szCs w:val="21"/>
              </w:rPr>
            </w:pPr>
            <w:r>
              <w:rPr>
                <w:rFonts w:hint="eastAsia" w:ascii="宋体" w:hAnsi="宋体" w:cs="宋体"/>
                <w:b/>
                <w:color w:val="auto"/>
                <w:kern w:val="0"/>
                <w:szCs w:val="21"/>
              </w:rPr>
              <w:t>审查标准</w:t>
            </w:r>
          </w:p>
        </w:tc>
      </w:tr>
      <w:tr w14:paraId="534FEE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5049E18E">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686" w:type="dxa"/>
            <w:noWrap/>
            <w:vAlign w:val="center"/>
          </w:tcPr>
          <w:p w14:paraId="6D69FD4D">
            <w:pPr>
              <w:adjustRightInd w:val="0"/>
              <w:snapToGrid w:val="0"/>
              <w:spacing w:line="360" w:lineRule="exact"/>
              <w:rPr>
                <w:rFonts w:ascii="宋体" w:hAnsi="宋体" w:cs="宋体"/>
                <w:color w:val="auto"/>
                <w:kern w:val="0"/>
                <w:szCs w:val="21"/>
              </w:rPr>
            </w:pPr>
            <w:r>
              <w:rPr>
                <w:rFonts w:hint="eastAsia" w:ascii="宋体" w:hAnsi="宋体"/>
                <w:color w:val="auto"/>
                <w:szCs w:val="21"/>
              </w:rPr>
              <w:t>投标文件中商务技术文件是否按照招标文件规定要求签署、盖章的；</w:t>
            </w:r>
          </w:p>
        </w:tc>
        <w:tc>
          <w:tcPr>
            <w:tcW w:w="5691" w:type="dxa"/>
            <w:noWrap/>
            <w:vAlign w:val="center"/>
          </w:tcPr>
          <w:p w14:paraId="06254233">
            <w:pPr>
              <w:adjustRightInd w:val="0"/>
              <w:snapToGrid w:val="0"/>
              <w:spacing w:beforeLines="50" w:line="360" w:lineRule="auto"/>
              <w:rPr>
                <w:rFonts w:ascii="宋体" w:hAnsi="宋体" w:cs="宋体"/>
                <w:color w:val="auto"/>
                <w:kern w:val="0"/>
                <w:szCs w:val="21"/>
              </w:rPr>
            </w:pPr>
            <w:r>
              <w:rPr>
                <w:rFonts w:hint="eastAsia" w:ascii="宋体" w:hAnsi="宋体"/>
                <w:color w:val="auto"/>
                <w:szCs w:val="21"/>
              </w:rPr>
              <w:t>投标文件是否存在商务技术文件没有按照招标文件规定要求签署、盖章的；</w:t>
            </w:r>
          </w:p>
        </w:tc>
      </w:tr>
      <w:tr w14:paraId="041E2C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5B994427">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686" w:type="dxa"/>
            <w:noWrap/>
            <w:vAlign w:val="center"/>
          </w:tcPr>
          <w:p w14:paraId="2B0DC23C">
            <w:pPr>
              <w:adjustRightInd w:val="0"/>
              <w:snapToGrid w:val="0"/>
              <w:spacing w:line="360" w:lineRule="exact"/>
              <w:rPr>
                <w:rFonts w:ascii="宋体" w:hAnsi="宋体" w:cs="宋体"/>
                <w:color w:val="auto"/>
                <w:kern w:val="0"/>
                <w:szCs w:val="21"/>
              </w:rPr>
            </w:pPr>
            <w:r>
              <w:rPr>
                <w:rFonts w:hint="eastAsia" w:ascii="宋体" w:hAnsi="宋体"/>
                <w:color w:val="auto"/>
                <w:szCs w:val="21"/>
              </w:rPr>
              <w:t>投标有效期不足的；</w:t>
            </w:r>
          </w:p>
        </w:tc>
        <w:tc>
          <w:tcPr>
            <w:tcW w:w="5691" w:type="dxa"/>
            <w:noWrap/>
            <w:vAlign w:val="center"/>
          </w:tcPr>
          <w:p w14:paraId="30D7C014">
            <w:pPr>
              <w:adjustRightInd w:val="0"/>
              <w:snapToGrid w:val="0"/>
              <w:spacing w:beforeLines="50" w:line="360" w:lineRule="auto"/>
              <w:rPr>
                <w:rFonts w:ascii="宋体" w:hAnsi="宋体" w:cs="宋体"/>
                <w:color w:val="auto"/>
                <w:kern w:val="0"/>
                <w:szCs w:val="21"/>
              </w:rPr>
            </w:pPr>
            <w:r>
              <w:rPr>
                <w:rFonts w:hint="eastAsia" w:ascii="宋体" w:hAnsi="宋体"/>
                <w:color w:val="auto"/>
                <w:szCs w:val="21"/>
              </w:rPr>
              <w:t>90日（日历日）；</w:t>
            </w:r>
          </w:p>
        </w:tc>
      </w:tr>
      <w:tr w14:paraId="67F3C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62A4E682">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2686" w:type="dxa"/>
            <w:noWrap/>
            <w:vAlign w:val="center"/>
          </w:tcPr>
          <w:p w14:paraId="4C52A814">
            <w:pPr>
              <w:adjustRightInd w:val="0"/>
              <w:snapToGrid w:val="0"/>
              <w:spacing w:line="360" w:lineRule="exact"/>
              <w:rPr>
                <w:rFonts w:ascii="宋体" w:hAnsi="宋体" w:cs="宋体"/>
                <w:color w:val="auto"/>
                <w:kern w:val="0"/>
                <w:szCs w:val="21"/>
              </w:rPr>
            </w:pPr>
            <w:r>
              <w:rPr>
                <w:rFonts w:hint="eastAsia" w:ascii="宋体" w:hAnsi="宋体"/>
                <w:color w:val="auto"/>
                <w:szCs w:val="21"/>
              </w:rPr>
              <w:t>投标人递交的投标报价唯一性；</w:t>
            </w:r>
          </w:p>
        </w:tc>
        <w:tc>
          <w:tcPr>
            <w:tcW w:w="5691" w:type="dxa"/>
            <w:noWrap/>
            <w:vAlign w:val="center"/>
          </w:tcPr>
          <w:p w14:paraId="2EE6CE7B">
            <w:pPr>
              <w:adjustRightInd w:val="0"/>
              <w:snapToGrid w:val="0"/>
              <w:spacing w:beforeLines="50" w:line="360" w:lineRule="auto"/>
              <w:rPr>
                <w:rFonts w:ascii="宋体" w:hAnsi="宋体" w:cs="宋体"/>
                <w:color w:val="auto"/>
                <w:kern w:val="0"/>
                <w:szCs w:val="21"/>
              </w:rPr>
            </w:pPr>
            <w:r>
              <w:rPr>
                <w:rFonts w:hint="eastAsia" w:ascii="宋体" w:hAnsi="宋体"/>
                <w:color w:val="auto"/>
                <w:szCs w:val="21"/>
              </w:rPr>
              <w:t>投标人是否存在递交的投标报价前后不一致；</w:t>
            </w:r>
          </w:p>
        </w:tc>
      </w:tr>
      <w:tr w14:paraId="361AF8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57EC6874">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2686" w:type="dxa"/>
            <w:noWrap/>
            <w:vAlign w:val="center"/>
          </w:tcPr>
          <w:p w14:paraId="3A8C94C7">
            <w:pPr>
              <w:adjustRightInd w:val="0"/>
              <w:snapToGrid w:val="0"/>
              <w:spacing w:line="360" w:lineRule="exact"/>
              <w:rPr>
                <w:rFonts w:ascii="宋体" w:hAnsi="宋体"/>
                <w:color w:val="auto"/>
                <w:kern w:val="0"/>
                <w:szCs w:val="21"/>
              </w:rPr>
            </w:pPr>
            <w:r>
              <w:rPr>
                <w:rFonts w:hint="eastAsia" w:ascii="宋体" w:hAnsi="宋体" w:cs="宋体"/>
                <w:color w:val="auto"/>
                <w:szCs w:val="21"/>
              </w:rPr>
              <w:t>投标范围满足招标文件要求；</w:t>
            </w:r>
          </w:p>
        </w:tc>
        <w:tc>
          <w:tcPr>
            <w:tcW w:w="5691" w:type="dxa"/>
            <w:noWrap/>
            <w:vAlign w:val="center"/>
          </w:tcPr>
          <w:p w14:paraId="2F5842B9">
            <w:pPr>
              <w:adjustRightInd w:val="0"/>
              <w:snapToGrid w:val="0"/>
              <w:spacing w:beforeLines="50" w:line="360" w:lineRule="auto"/>
              <w:rPr>
                <w:rFonts w:ascii="宋体" w:hAnsi="宋体" w:cs="宋体"/>
                <w:color w:val="auto"/>
                <w:kern w:val="0"/>
                <w:szCs w:val="21"/>
              </w:rPr>
            </w:pPr>
            <w:r>
              <w:rPr>
                <w:rFonts w:hint="eastAsia" w:ascii="宋体" w:hAnsi="宋体"/>
                <w:color w:val="auto"/>
                <w:szCs w:val="21"/>
              </w:rPr>
              <w:t>投标范围是否存在不满足招标文件要求；</w:t>
            </w:r>
          </w:p>
        </w:tc>
      </w:tr>
      <w:tr w14:paraId="12B1D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12E871A9">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2686" w:type="dxa"/>
            <w:noWrap/>
            <w:vAlign w:val="center"/>
          </w:tcPr>
          <w:p w14:paraId="355776A6">
            <w:pPr>
              <w:adjustRightInd w:val="0"/>
              <w:snapToGrid w:val="0"/>
              <w:spacing w:line="360" w:lineRule="exact"/>
              <w:rPr>
                <w:rFonts w:ascii="宋体" w:hAnsi="宋体"/>
                <w:color w:val="auto"/>
                <w:kern w:val="0"/>
                <w:szCs w:val="21"/>
              </w:rPr>
            </w:pPr>
            <w:r>
              <w:rPr>
                <w:rFonts w:hint="eastAsia" w:ascii="宋体" w:hAnsi="宋体"/>
                <w:color w:val="auto"/>
                <w:szCs w:val="21"/>
              </w:rPr>
              <w:t>投标文件没有对招标文件的实质性要求和条件作出响应，或者对招标文件的偏离超出招标文件规定的偏离范围和幅度；</w:t>
            </w:r>
          </w:p>
        </w:tc>
        <w:tc>
          <w:tcPr>
            <w:tcW w:w="5691" w:type="dxa"/>
            <w:noWrap/>
            <w:vAlign w:val="center"/>
          </w:tcPr>
          <w:p w14:paraId="0A676482">
            <w:pPr>
              <w:adjustRightInd w:val="0"/>
              <w:snapToGrid w:val="0"/>
              <w:spacing w:beforeLines="50" w:line="360" w:lineRule="auto"/>
              <w:rPr>
                <w:rFonts w:ascii="宋体" w:hAnsi="宋体" w:cs="宋体"/>
                <w:color w:val="auto"/>
                <w:kern w:val="0"/>
                <w:szCs w:val="21"/>
              </w:rPr>
            </w:pPr>
            <w:r>
              <w:rPr>
                <w:rFonts w:hint="eastAsia" w:ascii="宋体" w:hAnsi="宋体"/>
                <w:color w:val="auto"/>
                <w:szCs w:val="21"/>
              </w:rPr>
              <w:t>投标文件是否存在对招标文件的实质性要求和条件作出响应，或者对招标文件的偏离超出招标文件规定的偏离范围和幅度；投标文件的负偏离项数之和≤10项；</w:t>
            </w:r>
          </w:p>
        </w:tc>
      </w:tr>
      <w:tr w14:paraId="313AC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5F28D8EC">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2686" w:type="dxa"/>
            <w:noWrap/>
            <w:vAlign w:val="center"/>
          </w:tcPr>
          <w:p w14:paraId="1536176E">
            <w:pPr>
              <w:adjustRightInd w:val="0"/>
              <w:snapToGrid w:val="0"/>
              <w:spacing w:line="360" w:lineRule="exact"/>
              <w:rPr>
                <w:rFonts w:ascii="宋体" w:hAnsi="宋体" w:cs="宋体"/>
                <w:color w:val="auto"/>
                <w:kern w:val="0"/>
                <w:szCs w:val="21"/>
              </w:rPr>
            </w:pPr>
            <w:r>
              <w:rPr>
                <w:rFonts w:hint="eastAsia" w:ascii="宋体" w:hAnsi="宋体" w:cs="宋体"/>
                <w:color w:val="auto"/>
                <w:szCs w:val="21"/>
              </w:rPr>
              <w:t>标注 “</w:t>
            </w:r>
            <w:r>
              <w:rPr>
                <w:rFonts w:hint="eastAsia" w:ascii="宋体" w:hAnsi="宋体"/>
                <w:color w:val="auto"/>
                <w:szCs w:val="21"/>
              </w:rPr>
              <w:t>★</w:t>
            </w:r>
            <w:r>
              <w:rPr>
                <w:rFonts w:hint="eastAsia" w:ascii="宋体" w:hAnsi="宋体" w:cs="宋体"/>
                <w:color w:val="auto"/>
                <w:szCs w:val="21"/>
              </w:rPr>
              <w:t>”符号的条款为实质性要求条款（即重要条款），对其中任何一条的偏离，在评标时将其视为无效投标；</w:t>
            </w:r>
          </w:p>
        </w:tc>
        <w:tc>
          <w:tcPr>
            <w:tcW w:w="5691" w:type="dxa"/>
            <w:noWrap/>
            <w:vAlign w:val="center"/>
          </w:tcPr>
          <w:p w14:paraId="035C751E">
            <w:pPr>
              <w:adjustRightInd w:val="0"/>
              <w:snapToGrid w:val="0"/>
              <w:spacing w:beforeLines="50" w:line="360" w:lineRule="auto"/>
              <w:rPr>
                <w:rFonts w:ascii="宋体" w:hAnsi="宋体" w:cs="宋体"/>
                <w:color w:val="auto"/>
                <w:kern w:val="0"/>
                <w:szCs w:val="21"/>
              </w:rPr>
            </w:pPr>
            <w:r>
              <w:rPr>
                <w:rFonts w:hint="eastAsia" w:ascii="宋体" w:hAnsi="宋体"/>
                <w:color w:val="auto"/>
                <w:szCs w:val="21"/>
              </w:rPr>
              <w:t>投标文件是否对招标文件标记“★”符号的条款做出实质性响应；</w:t>
            </w:r>
          </w:p>
        </w:tc>
      </w:tr>
      <w:tr w14:paraId="6D6C0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6F83C9E7">
            <w:pPr>
              <w:adjustRightInd w:val="0"/>
              <w:snapToGrid w:val="0"/>
              <w:spacing w:beforeLines="50"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2686" w:type="dxa"/>
            <w:noWrap/>
            <w:vAlign w:val="center"/>
          </w:tcPr>
          <w:p w14:paraId="2D49DCAC">
            <w:pPr>
              <w:adjustRightInd w:val="0"/>
              <w:snapToGrid w:val="0"/>
              <w:spacing w:line="360" w:lineRule="exact"/>
              <w:rPr>
                <w:rFonts w:ascii="宋体" w:hAnsi="宋体" w:cs="宋体"/>
                <w:color w:val="auto"/>
                <w:kern w:val="0"/>
                <w:szCs w:val="21"/>
              </w:rPr>
            </w:pPr>
            <w:r>
              <w:rPr>
                <w:rFonts w:hint="eastAsia" w:ascii="宋体" w:hAnsi="宋体"/>
                <w:color w:val="auto"/>
                <w:szCs w:val="21"/>
              </w:rPr>
              <w:t>投标文件含有采购人不能接受的附加条件的；</w:t>
            </w:r>
          </w:p>
        </w:tc>
        <w:tc>
          <w:tcPr>
            <w:tcW w:w="5691" w:type="dxa"/>
            <w:noWrap/>
            <w:vAlign w:val="center"/>
          </w:tcPr>
          <w:p w14:paraId="35539F1E">
            <w:pPr>
              <w:adjustRightInd w:val="0"/>
              <w:snapToGrid w:val="0"/>
              <w:spacing w:beforeLines="50" w:line="360" w:lineRule="auto"/>
              <w:rPr>
                <w:rFonts w:ascii="宋体" w:hAnsi="宋体" w:cs="宋体"/>
                <w:color w:val="auto"/>
                <w:kern w:val="0"/>
                <w:szCs w:val="21"/>
              </w:rPr>
            </w:pPr>
            <w:r>
              <w:rPr>
                <w:rFonts w:ascii="宋体" w:hAnsi="宋体"/>
                <w:color w:val="auto"/>
                <w:szCs w:val="21"/>
              </w:rPr>
              <w:t>是否存在</w:t>
            </w:r>
            <w:r>
              <w:rPr>
                <w:rFonts w:hint="eastAsia" w:ascii="宋体" w:hAnsi="宋体"/>
                <w:color w:val="auto"/>
                <w:szCs w:val="21"/>
              </w:rPr>
              <w:t>投标文件含有采购人不能接受的附加条件的；</w:t>
            </w:r>
          </w:p>
        </w:tc>
      </w:tr>
      <w:tr w14:paraId="2360E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4C6EF2DE">
            <w:pPr>
              <w:adjustRightInd w:val="0"/>
              <w:snapToGrid w:val="0"/>
              <w:spacing w:beforeLines="50" w:line="360" w:lineRule="auto"/>
              <w:jc w:val="center"/>
              <w:rPr>
                <w:rFonts w:ascii="宋体" w:hAnsi="宋体"/>
                <w:color w:val="auto"/>
                <w:kern w:val="0"/>
                <w:szCs w:val="21"/>
              </w:rPr>
            </w:pPr>
            <w:r>
              <w:rPr>
                <w:rFonts w:hint="eastAsia" w:ascii="宋体" w:hAnsi="宋体"/>
                <w:color w:val="auto"/>
                <w:kern w:val="0"/>
                <w:szCs w:val="21"/>
              </w:rPr>
              <w:t>8</w:t>
            </w:r>
          </w:p>
        </w:tc>
        <w:tc>
          <w:tcPr>
            <w:tcW w:w="2686" w:type="dxa"/>
            <w:noWrap/>
            <w:vAlign w:val="center"/>
          </w:tcPr>
          <w:p w14:paraId="6CF88E2E">
            <w:pPr>
              <w:adjustRightInd w:val="0"/>
              <w:snapToGrid w:val="0"/>
              <w:spacing w:line="360" w:lineRule="exact"/>
              <w:rPr>
                <w:rFonts w:ascii="宋体" w:hAnsi="宋体" w:cs="宋体"/>
                <w:color w:val="auto"/>
                <w:kern w:val="0"/>
                <w:szCs w:val="21"/>
              </w:rPr>
            </w:pPr>
            <w:r>
              <w:rPr>
                <w:rFonts w:hint="eastAsia" w:ascii="宋体" w:hAnsi="宋体"/>
                <w:color w:val="auto"/>
                <w:szCs w:val="21"/>
              </w:rPr>
              <w:t>法律、法规和招标文件规定的其他投标无效情形的。</w:t>
            </w:r>
          </w:p>
        </w:tc>
        <w:tc>
          <w:tcPr>
            <w:tcW w:w="5691" w:type="dxa"/>
            <w:noWrap/>
            <w:vAlign w:val="center"/>
          </w:tcPr>
          <w:p w14:paraId="54680E14">
            <w:pPr>
              <w:adjustRightInd w:val="0"/>
              <w:snapToGrid w:val="0"/>
              <w:spacing w:beforeLines="50" w:line="360" w:lineRule="auto"/>
              <w:rPr>
                <w:rFonts w:ascii="宋体" w:hAnsi="宋体" w:cs="宋体"/>
                <w:color w:val="auto"/>
                <w:kern w:val="0"/>
                <w:szCs w:val="21"/>
              </w:rPr>
            </w:pPr>
            <w:r>
              <w:rPr>
                <w:rFonts w:hint="eastAsia" w:ascii="宋体" w:hAnsi="宋体"/>
                <w:color w:val="auto"/>
                <w:szCs w:val="21"/>
              </w:rPr>
              <w:t>是否存在有招标文件规定的其他投标无效情形。</w:t>
            </w:r>
          </w:p>
        </w:tc>
      </w:tr>
      <w:tr w14:paraId="54106C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0C355BEA">
            <w:pPr>
              <w:adjustRightInd w:val="0"/>
              <w:snapToGrid w:val="0"/>
              <w:spacing w:beforeLines="50" w:line="360" w:lineRule="auto"/>
              <w:jc w:val="center"/>
              <w:rPr>
                <w:rFonts w:ascii="宋体" w:hAnsi="宋体" w:cs="宋体"/>
                <w:color w:val="auto"/>
                <w:kern w:val="0"/>
                <w:sz w:val="20"/>
                <w:szCs w:val="21"/>
              </w:rPr>
            </w:pPr>
            <w:r>
              <w:rPr>
                <w:rFonts w:hint="eastAsia" w:ascii="宋体" w:hAnsi="宋体" w:cs="宋体"/>
                <w:color w:val="auto"/>
                <w:kern w:val="0"/>
                <w:sz w:val="20"/>
                <w:szCs w:val="21"/>
              </w:rPr>
              <w:t>结论</w:t>
            </w:r>
          </w:p>
        </w:tc>
        <w:tc>
          <w:tcPr>
            <w:tcW w:w="8377" w:type="dxa"/>
            <w:gridSpan w:val="2"/>
            <w:noWrap/>
            <w:vAlign w:val="center"/>
          </w:tcPr>
          <w:p w14:paraId="3D86131B">
            <w:pPr>
              <w:adjustRightInd w:val="0"/>
              <w:snapToGrid w:val="0"/>
              <w:spacing w:beforeLines="50" w:line="360" w:lineRule="auto"/>
              <w:jc w:val="left"/>
              <w:rPr>
                <w:rFonts w:ascii="宋体" w:hAnsi="宋体" w:cs="宋体"/>
                <w:color w:val="auto"/>
                <w:kern w:val="0"/>
                <w:sz w:val="20"/>
                <w:szCs w:val="21"/>
              </w:rPr>
            </w:pPr>
            <w:r>
              <w:rPr>
                <w:rFonts w:hint="eastAsia" w:ascii="宋体" w:hAnsi="宋体" w:cs="宋体"/>
                <w:color w:val="auto"/>
                <w:kern w:val="0"/>
                <w:sz w:val="20"/>
                <w:szCs w:val="21"/>
              </w:rPr>
              <w:t>详见符合性审查结果一览表</w:t>
            </w:r>
          </w:p>
        </w:tc>
      </w:tr>
    </w:tbl>
    <w:p w14:paraId="03EF2AAC">
      <w:pPr>
        <w:adjustRightInd w:val="0"/>
        <w:snapToGrid w:val="0"/>
        <w:spacing w:line="360" w:lineRule="auto"/>
        <w:rPr>
          <w:rFonts w:ascii="宋体" w:hAnsi="宋体"/>
          <w:color w:val="auto"/>
          <w:szCs w:val="21"/>
        </w:rPr>
      </w:pPr>
      <w:r>
        <w:rPr>
          <w:rFonts w:hint="eastAsia" w:ascii="宋体" w:hAnsi="宋体"/>
          <w:color w:val="auto"/>
          <w:szCs w:val="21"/>
        </w:rPr>
        <w:t xml:space="preserve"> </w:t>
      </w:r>
    </w:p>
    <w:p w14:paraId="7709CCFB">
      <w:pPr>
        <w:widowControl/>
        <w:jc w:val="left"/>
        <w:rPr>
          <w:rFonts w:ascii="宋体" w:hAnsi="宋体"/>
          <w:color w:val="auto"/>
          <w:sz w:val="10"/>
          <w:szCs w:val="10"/>
        </w:rPr>
      </w:pPr>
      <w:r>
        <w:rPr>
          <w:rFonts w:ascii="宋体" w:hAnsi="宋体"/>
          <w:color w:val="auto"/>
          <w:szCs w:val="21"/>
        </w:rPr>
        <w:br w:type="page"/>
      </w:r>
    </w:p>
    <w:p w14:paraId="73D47EC9">
      <w:pPr>
        <w:pStyle w:val="14"/>
        <w:adjustRightInd w:val="0"/>
        <w:snapToGrid w:val="0"/>
        <w:spacing w:beforeLines="50" w:after="0" w:line="360" w:lineRule="auto"/>
        <w:rPr>
          <w:rFonts w:ascii="黑体" w:hAnsi="黑体" w:eastAsia="黑体" w:cs="黑体"/>
          <w:b w:val="0"/>
          <w:bCs w:val="0"/>
          <w:color w:val="auto"/>
          <w:sz w:val="21"/>
          <w:szCs w:val="21"/>
        </w:rPr>
      </w:pPr>
      <w:bookmarkStart w:id="58" w:name="_Toc4788"/>
      <w:r>
        <w:rPr>
          <w:rFonts w:hint="eastAsia" w:ascii="黑体" w:hAnsi="黑体" w:eastAsia="黑体" w:cs="黑体"/>
          <w:b w:val="0"/>
          <w:bCs w:val="0"/>
          <w:color w:val="auto"/>
          <w:sz w:val="21"/>
          <w:szCs w:val="21"/>
        </w:rPr>
        <w:t>附表2 符合性审查结果一览表</w:t>
      </w:r>
      <w:bookmarkEnd w:id="58"/>
    </w:p>
    <w:p w14:paraId="221586B2">
      <w:pPr>
        <w:adjustRightInd w:val="0"/>
        <w:snapToGrid w:val="0"/>
        <w:spacing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符合性审查结果一览表</w:t>
      </w:r>
    </w:p>
    <w:p w14:paraId="191230DD">
      <w:pPr>
        <w:adjustRightInd w:val="0"/>
        <w:snapToGrid w:val="0"/>
        <w:spacing w:beforeLines="50" w:line="360" w:lineRule="auto"/>
        <w:rPr>
          <w:rFonts w:ascii="宋体" w:hAnsi="宋体"/>
          <w:color w:val="auto"/>
          <w:szCs w:val="21"/>
        </w:rPr>
      </w:pPr>
      <w:r>
        <w:rPr>
          <w:rFonts w:hint="eastAsia" w:ascii="宋体" w:hAnsi="宋体"/>
          <w:color w:val="auto"/>
          <w:szCs w:val="21"/>
        </w:rPr>
        <w:t xml:space="preserve">项目名称：                                           </w:t>
      </w:r>
    </w:p>
    <w:tbl>
      <w:tblPr>
        <w:tblStyle w:val="31"/>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780EA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ign w:val="center"/>
          </w:tcPr>
          <w:p w14:paraId="3842842B">
            <w:pPr>
              <w:jc w:val="center"/>
              <w:rPr>
                <w:rFonts w:ascii="宋体" w:hAnsi="宋体"/>
                <w:b/>
                <w:color w:val="auto"/>
                <w:kern w:val="0"/>
                <w:szCs w:val="21"/>
              </w:rPr>
            </w:pPr>
            <w:r>
              <w:rPr>
                <w:rFonts w:hint="eastAsia" w:ascii="宋体" w:hAnsi="宋体"/>
                <w:b/>
                <w:color w:val="auto"/>
                <w:kern w:val="0"/>
                <w:szCs w:val="21"/>
              </w:rPr>
              <w:t>序号</w:t>
            </w:r>
          </w:p>
        </w:tc>
        <w:tc>
          <w:tcPr>
            <w:tcW w:w="2963" w:type="dxa"/>
            <w:noWrap/>
            <w:vAlign w:val="center"/>
          </w:tcPr>
          <w:p w14:paraId="53C75B52">
            <w:pPr>
              <w:jc w:val="center"/>
              <w:rPr>
                <w:rFonts w:ascii="宋体" w:hAnsi="宋体"/>
                <w:b/>
                <w:color w:val="auto"/>
                <w:kern w:val="0"/>
                <w:szCs w:val="21"/>
              </w:rPr>
            </w:pPr>
            <w:r>
              <w:rPr>
                <w:rFonts w:hint="eastAsia" w:ascii="宋体" w:hAnsi="宋体"/>
                <w:b/>
                <w:color w:val="auto"/>
                <w:kern w:val="0"/>
                <w:szCs w:val="21"/>
              </w:rPr>
              <w:t>投标人名称</w:t>
            </w:r>
          </w:p>
        </w:tc>
        <w:tc>
          <w:tcPr>
            <w:tcW w:w="2439" w:type="dxa"/>
            <w:noWrap/>
            <w:vAlign w:val="center"/>
          </w:tcPr>
          <w:p w14:paraId="49FC0F83">
            <w:pPr>
              <w:jc w:val="center"/>
              <w:rPr>
                <w:rFonts w:ascii="宋体" w:hAnsi="宋体"/>
                <w:b/>
                <w:color w:val="auto"/>
                <w:kern w:val="0"/>
                <w:szCs w:val="21"/>
              </w:rPr>
            </w:pPr>
            <w:r>
              <w:rPr>
                <w:rFonts w:hint="eastAsia" w:ascii="宋体" w:hAnsi="宋体"/>
                <w:b/>
                <w:color w:val="auto"/>
                <w:kern w:val="0"/>
                <w:szCs w:val="21"/>
              </w:rPr>
              <w:t>符合性审查结果</w:t>
            </w:r>
          </w:p>
          <w:p w14:paraId="75821363">
            <w:pPr>
              <w:jc w:val="center"/>
              <w:rPr>
                <w:rFonts w:ascii="宋体" w:hAnsi="宋体"/>
                <w:b/>
                <w:color w:val="auto"/>
                <w:kern w:val="0"/>
                <w:szCs w:val="21"/>
              </w:rPr>
            </w:pPr>
            <w:r>
              <w:rPr>
                <w:rFonts w:hint="eastAsia" w:ascii="宋体" w:hAnsi="宋体"/>
                <w:b/>
                <w:color w:val="auto"/>
                <w:kern w:val="0"/>
                <w:szCs w:val="21"/>
              </w:rPr>
              <w:t>（合格/不合格）</w:t>
            </w:r>
          </w:p>
        </w:tc>
        <w:tc>
          <w:tcPr>
            <w:tcW w:w="2961" w:type="dxa"/>
            <w:noWrap/>
            <w:vAlign w:val="center"/>
          </w:tcPr>
          <w:p w14:paraId="44F29007">
            <w:pPr>
              <w:jc w:val="center"/>
              <w:rPr>
                <w:rFonts w:ascii="宋体" w:hAnsi="宋体"/>
                <w:b/>
                <w:color w:val="auto"/>
                <w:kern w:val="0"/>
                <w:szCs w:val="21"/>
              </w:rPr>
            </w:pPr>
            <w:r>
              <w:rPr>
                <w:rFonts w:hint="eastAsia" w:ascii="宋体" w:hAnsi="宋体"/>
                <w:b/>
                <w:color w:val="auto"/>
                <w:kern w:val="0"/>
                <w:szCs w:val="21"/>
              </w:rPr>
              <w:t>符合性审查不合格原因</w:t>
            </w:r>
          </w:p>
        </w:tc>
      </w:tr>
      <w:tr w14:paraId="65BF5F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3B451FE2">
            <w:pPr>
              <w:adjustRightInd w:val="0"/>
              <w:snapToGrid w:val="0"/>
              <w:spacing w:line="360" w:lineRule="auto"/>
              <w:rPr>
                <w:rFonts w:ascii="宋体" w:hAnsi="宋体"/>
                <w:color w:val="auto"/>
                <w:kern w:val="0"/>
                <w:sz w:val="24"/>
              </w:rPr>
            </w:pPr>
          </w:p>
        </w:tc>
        <w:tc>
          <w:tcPr>
            <w:tcW w:w="2963" w:type="dxa"/>
            <w:noWrap/>
          </w:tcPr>
          <w:p w14:paraId="2844FD78">
            <w:pPr>
              <w:adjustRightInd w:val="0"/>
              <w:snapToGrid w:val="0"/>
              <w:spacing w:line="360" w:lineRule="auto"/>
              <w:rPr>
                <w:rFonts w:ascii="宋体" w:hAnsi="宋体"/>
                <w:color w:val="auto"/>
                <w:kern w:val="0"/>
                <w:sz w:val="24"/>
              </w:rPr>
            </w:pPr>
          </w:p>
        </w:tc>
        <w:tc>
          <w:tcPr>
            <w:tcW w:w="2439" w:type="dxa"/>
            <w:noWrap/>
          </w:tcPr>
          <w:p w14:paraId="772097EC">
            <w:pPr>
              <w:adjustRightInd w:val="0"/>
              <w:snapToGrid w:val="0"/>
              <w:spacing w:line="360" w:lineRule="auto"/>
              <w:rPr>
                <w:rFonts w:ascii="宋体" w:hAnsi="宋体"/>
                <w:color w:val="auto"/>
                <w:kern w:val="0"/>
                <w:sz w:val="24"/>
              </w:rPr>
            </w:pPr>
          </w:p>
        </w:tc>
        <w:tc>
          <w:tcPr>
            <w:tcW w:w="2961" w:type="dxa"/>
            <w:noWrap/>
          </w:tcPr>
          <w:p w14:paraId="0F827B4B">
            <w:pPr>
              <w:adjustRightInd w:val="0"/>
              <w:snapToGrid w:val="0"/>
              <w:spacing w:line="360" w:lineRule="auto"/>
              <w:rPr>
                <w:rFonts w:ascii="宋体" w:hAnsi="宋体"/>
                <w:color w:val="auto"/>
                <w:kern w:val="0"/>
                <w:sz w:val="24"/>
              </w:rPr>
            </w:pPr>
          </w:p>
        </w:tc>
      </w:tr>
      <w:tr w14:paraId="538E8C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47F430AB">
            <w:pPr>
              <w:adjustRightInd w:val="0"/>
              <w:snapToGrid w:val="0"/>
              <w:spacing w:line="360" w:lineRule="auto"/>
              <w:rPr>
                <w:rFonts w:ascii="宋体" w:hAnsi="宋体"/>
                <w:color w:val="auto"/>
                <w:kern w:val="0"/>
                <w:sz w:val="24"/>
              </w:rPr>
            </w:pPr>
          </w:p>
        </w:tc>
        <w:tc>
          <w:tcPr>
            <w:tcW w:w="2963" w:type="dxa"/>
            <w:noWrap/>
          </w:tcPr>
          <w:p w14:paraId="191B807D">
            <w:pPr>
              <w:adjustRightInd w:val="0"/>
              <w:snapToGrid w:val="0"/>
              <w:spacing w:line="360" w:lineRule="auto"/>
              <w:rPr>
                <w:rFonts w:ascii="宋体" w:hAnsi="宋体"/>
                <w:color w:val="auto"/>
                <w:kern w:val="0"/>
                <w:sz w:val="24"/>
              </w:rPr>
            </w:pPr>
          </w:p>
        </w:tc>
        <w:tc>
          <w:tcPr>
            <w:tcW w:w="2439" w:type="dxa"/>
            <w:noWrap/>
          </w:tcPr>
          <w:p w14:paraId="010BFBAB">
            <w:pPr>
              <w:adjustRightInd w:val="0"/>
              <w:snapToGrid w:val="0"/>
              <w:spacing w:line="360" w:lineRule="auto"/>
              <w:rPr>
                <w:rFonts w:ascii="宋体" w:hAnsi="宋体"/>
                <w:color w:val="auto"/>
                <w:kern w:val="0"/>
                <w:sz w:val="24"/>
              </w:rPr>
            </w:pPr>
          </w:p>
        </w:tc>
        <w:tc>
          <w:tcPr>
            <w:tcW w:w="2961" w:type="dxa"/>
            <w:noWrap/>
          </w:tcPr>
          <w:p w14:paraId="7496B984">
            <w:pPr>
              <w:adjustRightInd w:val="0"/>
              <w:snapToGrid w:val="0"/>
              <w:spacing w:line="360" w:lineRule="auto"/>
              <w:rPr>
                <w:rFonts w:ascii="宋体" w:hAnsi="宋体"/>
                <w:color w:val="auto"/>
                <w:kern w:val="0"/>
                <w:sz w:val="24"/>
              </w:rPr>
            </w:pPr>
          </w:p>
        </w:tc>
      </w:tr>
      <w:tr w14:paraId="7E5F79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2E7F527F">
            <w:pPr>
              <w:adjustRightInd w:val="0"/>
              <w:snapToGrid w:val="0"/>
              <w:spacing w:line="360" w:lineRule="auto"/>
              <w:rPr>
                <w:rFonts w:ascii="宋体" w:hAnsi="宋体"/>
                <w:color w:val="auto"/>
                <w:kern w:val="0"/>
                <w:sz w:val="24"/>
              </w:rPr>
            </w:pPr>
          </w:p>
        </w:tc>
        <w:tc>
          <w:tcPr>
            <w:tcW w:w="2963" w:type="dxa"/>
            <w:noWrap/>
          </w:tcPr>
          <w:p w14:paraId="125D357B">
            <w:pPr>
              <w:adjustRightInd w:val="0"/>
              <w:snapToGrid w:val="0"/>
              <w:spacing w:line="360" w:lineRule="auto"/>
              <w:rPr>
                <w:rFonts w:ascii="宋体" w:hAnsi="宋体"/>
                <w:color w:val="auto"/>
                <w:kern w:val="0"/>
                <w:sz w:val="24"/>
              </w:rPr>
            </w:pPr>
          </w:p>
        </w:tc>
        <w:tc>
          <w:tcPr>
            <w:tcW w:w="2439" w:type="dxa"/>
            <w:noWrap/>
          </w:tcPr>
          <w:p w14:paraId="1B7617B6">
            <w:pPr>
              <w:adjustRightInd w:val="0"/>
              <w:snapToGrid w:val="0"/>
              <w:spacing w:line="360" w:lineRule="auto"/>
              <w:rPr>
                <w:rFonts w:ascii="宋体" w:hAnsi="宋体"/>
                <w:color w:val="auto"/>
                <w:kern w:val="0"/>
                <w:sz w:val="24"/>
              </w:rPr>
            </w:pPr>
          </w:p>
        </w:tc>
        <w:tc>
          <w:tcPr>
            <w:tcW w:w="2961" w:type="dxa"/>
            <w:noWrap/>
          </w:tcPr>
          <w:p w14:paraId="5F641568">
            <w:pPr>
              <w:adjustRightInd w:val="0"/>
              <w:snapToGrid w:val="0"/>
              <w:spacing w:line="360" w:lineRule="auto"/>
              <w:rPr>
                <w:rFonts w:ascii="宋体" w:hAnsi="宋体"/>
                <w:color w:val="auto"/>
                <w:kern w:val="0"/>
                <w:sz w:val="24"/>
              </w:rPr>
            </w:pPr>
          </w:p>
        </w:tc>
      </w:tr>
      <w:tr w14:paraId="53D15D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24EC9716">
            <w:pPr>
              <w:adjustRightInd w:val="0"/>
              <w:snapToGrid w:val="0"/>
              <w:spacing w:line="360" w:lineRule="auto"/>
              <w:rPr>
                <w:rFonts w:ascii="宋体" w:hAnsi="宋体"/>
                <w:color w:val="auto"/>
                <w:kern w:val="0"/>
                <w:sz w:val="24"/>
              </w:rPr>
            </w:pPr>
          </w:p>
        </w:tc>
        <w:tc>
          <w:tcPr>
            <w:tcW w:w="2963" w:type="dxa"/>
            <w:noWrap/>
          </w:tcPr>
          <w:p w14:paraId="075B6C1B">
            <w:pPr>
              <w:adjustRightInd w:val="0"/>
              <w:snapToGrid w:val="0"/>
              <w:spacing w:line="360" w:lineRule="auto"/>
              <w:rPr>
                <w:rFonts w:ascii="宋体" w:hAnsi="宋体"/>
                <w:color w:val="auto"/>
                <w:kern w:val="0"/>
                <w:sz w:val="24"/>
              </w:rPr>
            </w:pPr>
          </w:p>
        </w:tc>
        <w:tc>
          <w:tcPr>
            <w:tcW w:w="2439" w:type="dxa"/>
            <w:noWrap/>
          </w:tcPr>
          <w:p w14:paraId="3210FF2B">
            <w:pPr>
              <w:adjustRightInd w:val="0"/>
              <w:snapToGrid w:val="0"/>
              <w:spacing w:line="360" w:lineRule="auto"/>
              <w:rPr>
                <w:rFonts w:ascii="宋体" w:hAnsi="宋体"/>
                <w:color w:val="auto"/>
                <w:kern w:val="0"/>
                <w:sz w:val="24"/>
              </w:rPr>
            </w:pPr>
          </w:p>
        </w:tc>
        <w:tc>
          <w:tcPr>
            <w:tcW w:w="2961" w:type="dxa"/>
            <w:noWrap/>
          </w:tcPr>
          <w:p w14:paraId="183D00A1">
            <w:pPr>
              <w:adjustRightInd w:val="0"/>
              <w:snapToGrid w:val="0"/>
              <w:spacing w:line="360" w:lineRule="auto"/>
              <w:rPr>
                <w:rFonts w:ascii="宋体" w:hAnsi="宋体"/>
                <w:color w:val="auto"/>
                <w:kern w:val="0"/>
                <w:sz w:val="24"/>
              </w:rPr>
            </w:pPr>
          </w:p>
        </w:tc>
      </w:tr>
      <w:tr w14:paraId="424BD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4C2F53C8">
            <w:pPr>
              <w:adjustRightInd w:val="0"/>
              <w:snapToGrid w:val="0"/>
              <w:spacing w:line="360" w:lineRule="auto"/>
              <w:rPr>
                <w:rFonts w:ascii="宋体" w:hAnsi="宋体"/>
                <w:color w:val="auto"/>
                <w:kern w:val="0"/>
                <w:sz w:val="24"/>
              </w:rPr>
            </w:pPr>
          </w:p>
        </w:tc>
        <w:tc>
          <w:tcPr>
            <w:tcW w:w="2963" w:type="dxa"/>
            <w:noWrap/>
          </w:tcPr>
          <w:p w14:paraId="0E5B1960">
            <w:pPr>
              <w:adjustRightInd w:val="0"/>
              <w:snapToGrid w:val="0"/>
              <w:spacing w:line="360" w:lineRule="auto"/>
              <w:rPr>
                <w:rFonts w:ascii="宋体" w:hAnsi="宋体"/>
                <w:color w:val="auto"/>
                <w:kern w:val="0"/>
                <w:sz w:val="24"/>
              </w:rPr>
            </w:pPr>
          </w:p>
        </w:tc>
        <w:tc>
          <w:tcPr>
            <w:tcW w:w="2439" w:type="dxa"/>
            <w:noWrap/>
          </w:tcPr>
          <w:p w14:paraId="527CA362">
            <w:pPr>
              <w:adjustRightInd w:val="0"/>
              <w:snapToGrid w:val="0"/>
              <w:spacing w:line="360" w:lineRule="auto"/>
              <w:rPr>
                <w:rFonts w:ascii="宋体" w:hAnsi="宋体"/>
                <w:color w:val="auto"/>
                <w:kern w:val="0"/>
                <w:sz w:val="24"/>
              </w:rPr>
            </w:pPr>
          </w:p>
        </w:tc>
        <w:tc>
          <w:tcPr>
            <w:tcW w:w="2961" w:type="dxa"/>
            <w:noWrap/>
          </w:tcPr>
          <w:p w14:paraId="2A4BC802">
            <w:pPr>
              <w:adjustRightInd w:val="0"/>
              <w:snapToGrid w:val="0"/>
              <w:spacing w:line="360" w:lineRule="auto"/>
              <w:rPr>
                <w:rFonts w:ascii="宋体" w:hAnsi="宋体"/>
                <w:color w:val="auto"/>
                <w:kern w:val="0"/>
                <w:sz w:val="24"/>
              </w:rPr>
            </w:pPr>
          </w:p>
        </w:tc>
      </w:tr>
      <w:tr w14:paraId="01439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7B2DFB45">
            <w:pPr>
              <w:adjustRightInd w:val="0"/>
              <w:snapToGrid w:val="0"/>
              <w:spacing w:line="360" w:lineRule="auto"/>
              <w:rPr>
                <w:rFonts w:ascii="宋体" w:hAnsi="宋体"/>
                <w:color w:val="auto"/>
                <w:kern w:val="0"/>
                <w:sz w:val="24"/>
              </w:rPr>
            </w:pPr>
          </w:p>
        </w:tc>
        <w:tc>
          <w:tcPr>
            <w:tcW w:w="2963" w:type="dxa"/>
            <w:noWrap/>
          </w:tcPr>
          <w:p w14:paraId="024601E9">
            <w:pPr>
              <w:adjustRightInd w:val="0"/>
              <w:snapToGrid w:val="0"/>
              <w:spacing w:line="360" w:lineRule="auto"/>
              <w:rPr>
                <w:rFonts w:ascii="宋体" w:hAnsi="宋体"/>
                <w:color w:val="auto"/>
                <w:kern w:val="0"/>
                <w:sz w:val="24"/>
              </w:rPr>
            </w:pPr>
          </w:p>
        </w:tc>
        <w:tc>
          <w:tcPr>
            <w:tcW w:w="2439" w:type="dxa"/>
            <w:noWrap/>
          </w:tcPr>
          <w:p w14:paraId="7CC4E2AB">
            <w:pPr>
              <w:adjustRightInd w:val="0"/>
              <w:snapToGrid w:val="0"/>
              <w:spacing w:line="360" w:lineRule="auto"/>
              <w:rPr>
                <w:rFonts w:ascii="宋体" w:hAnsi="宋体"/>
                <w:color w:val="auto"/>
                <w:kern w:val="0"/>
                <w:sz w:val="24"/>
              </w:rPr>
            </w:pPr>
          </w:p>
        </w:tc>
        <w:tc>
          <w:tcPr>
            <w:tcW w:w="2961" w:type="dxa"/>
            <w:noWrap/>
          </w:tcPr>
          <w:p w14:paraId="5BD27247">
            <w:pPr>
              <w:adjustRightInd w:val="0"/>
              <w:snapToGrid w:val="0"/>
              <w:spacing w:line="360" w:lineRule="auto"/>
              <w:rPr>
                <w:rFonts w:ascii="宋体" w:hAnsi="宋体"/>
                <w:color w:val="auto"/>
                <w:kern w:val="0"/>
                <w:sz w:val="24"/>
              </w:rPr>
            </w:pPr>
          </w:p>
        </w:tc>
      </w:tr>
      <w:tr w14:paraId="17B421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7612BBC5">
            <w:pPr>
              <w:adjustRightInd w:val="0"/>
              <w:snapToGrid w:val="0"/>
              <w:spacing w:line="360" w:lineRule="auto"/>
              <w:rPr>
                <w:rFonts w:ascii="宋体" w:hAnsi="宋体"/>
                <w:color w:val="auto"/>
                <w:kern w:val="0"/>
                <w:sz w:val="24"/>
              </w:rPr>
            </w:pPr>
          </w:p>
        </w:tc>
        <w:tc>
          <w:tcPr>
            <w:tcW w:w="2963" w:type="dxa"/>
            <w:noWrap/>
          </w:tcPr>
          <w:p w14:paraId="30867DA5">
            <w:pPr>
              <w:adjustRightInd w:val="0"/>
              <w:snapToGrid w:val="0"/>
              <w:spacing w:line="360" w:lineRule="auto"/>
              <w:rPr>
                <w:rFonts w:ascii="宋体" w:hAnsi="宋体"/>
                <w:color w:val="auto"/>
                <w:kern w:val="0"/>
                <w:sz w:val="24"/>
              </w:rPr>
            </w:pPr>
          </w:p>
        </w:tc>
        <w:tc>
          <w:tcPr>
            <w:tcW w:w="2439" w:type="dxa"/>
            <w:noWrap/>
          </w:tcPr>
          <w:p w14:paraId="016846F9">
            <w:pPr>
              <w:adjustRightInd w:val="0"/>
              <w:snapToGrid w:val="0"/>
              <w:spacing w:line="360" w:lineRule="auto"/>
              <w:rPr>
                <w:rFonts w:ascii="宋体" w:hAnsi="宋体"/>
                <w:color w:val="auto"/>
                <w:kern w:val="0"/>
                <w:sz w:val="24"/>
              </w:rPr>
            </w:pPr>
          </w:p>
        </w:tc>
        <w:tc>
          <w:tcPr>
            <w:tcW w:w="2961" w:type="dxa"/>
            <w:noWrap/>
          </w:tcPr>
          <w:p w14:paraId="73FD2E67">
            <w:pPr>
              <w:adjustRightInd w:val="0"/>
              <w:snapToGrid w:val="0"/>
              <w:spacing w:line="360" w:lineRule="auto"/>
              <w:rPr>
                <w:rFonts w:ascii="宋体" w:hAnsi="宋体"/>
                <w:color w:val="auto"/>
                <w:kern w:val="0"/>
                <w:sz w:val="24"/>
              </w:rPr>
            </w:pPr>
          </w:p>
        </w:tc>
      </w:tr>
      <w:tr w14:paraId="29048D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23A518D7">
            <w:pPr>
              <w:adjustRightInd w:val="0"/>
              <w:snapToGrid w:val="0"/>
              <w:spacing w:line="360" w:lineRule="auto"/>
              <w:rPr>
                <w:rFonts w:ascii="宋体" w:hAnsi="宋体"/>
                <w:color w:val="auto"/>
                <w:kern w:val="0"/>
                <w:sz w:val="24"/>
              </w:rPr>
            </w:pPr>
          </w:p>
        </w:tc>
        <w:tc>
          <w:tcPr>
            <w:tcW w:w="2963" w:type="dxa"/>
            <w:noWrap/>
          </w:tcPr>
          <w:p w14:paraId="6A6A6206">
            <w:pPr>
              <w:adjustRightInd w:val="0"/>
              <w:snapToGrid w:val="0"/>
              <w:spacing w:line="360" w:lineRule="auto"/>
              <w:rPr>
                <w:rFonts w:ascii="宋体" w:hAnsi="宋体"/>
                <w:color w:val="auto"/>
                <w:kern w:val="0"/>
                <w:sz w:val="24"/>
              </w:rPr>
            </w:pPr>
          </w:p>
        </w:tc>
        <w:tc>
          <w:tcPr>
            <w:tcW w:w="2439" w:type="dxa"/>
            <w:noWrap/>
          </w:tcPr>
          <w:p w14:paraId="48BD0A43">
            <w:pPr>
              <w:adjustRightInd w:val="0"/>
              <w:snapToGrid w:val="0"/>
              <w:spacing w:line="360" w:lineRule="auto"/>
              <w:rPr>
                <w:rFonts w:ascii="宋体" w:hAnsi="宋体"/>
                <w:color w:val="auto"/>
                <w:kern w:val="0"/>
                <w:sz w:val="24"/>
              </w:rPr>
            </w:pPr>
          </w:p>
        </w:tc>
        <w:tc>
          <w:tcPr>
            <w:tcW w:w="2961" w:type="dxa"/>
            <w:noWrap/>
          </w:tcPr>
          <w:p w14:paraId="5F229372">
            <w:pPr>
              <w:adjustRightInd w:val="0"/>
              <w:snapToGrid w:val="0"/>
              <w:spacing w:line="360" w:lineRule="auto"/>
              <w:rPr>
                <w:rFonts w:ascii="宋体" w:hAnsi="宋体"/>
                <w:color w:val="auto"/>
                <w:kern w:val="0"/>
                <w:sz w:val="24"/>
              </w:rPr>
            </w:pPr>
          </w:p>
        </w:tc>
      </w:tr>
      <w:tr w14:paraId="6EC72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tcPr>
          <w:p w14:paraId="4B4D3FB2">
            <w:pPr>
              <w:adjustRightInd w:val="0"/>
              <w:snapToGrid w:val="0"/>
              <w:spacing w:line="360" w:lineRule="auto"/>
              <w:rPr>
                <w:rFonts w:ascii="宋体" w:hAnsi="宋体"/>
                <w:color w:val="auto"/>
                <w:kern w:val="0"/>
                <w:sz w:val="24"/>
              </w:rPr>
            </w:pPr>
          </w:p>
        </w:tc>
        <w:tc>
          <w:tcPr>
            <w:tcW w:w="2963" w:type="dxa"/>
            <w:noWrap/>
          </w:tcPr>
          <w:p w14:paraId="3E4E92FB">
            <w:pPr>
              <w:adjustRightInd w:val="0"/>
              <w:snapToGrid w:val="0"/>
              <w:spacing w:line="360" w:lineRule="auto"/>
              <w:rPr>
                <w:rFonts w:ascii="宋体" w:hAnsi="宋体"/>
                <w:color w:val="auto"/>
                <w:kern w:val="0"/>
                <w:sz w:val="24"/>
              </w:rPr>
            </w:pPr>
          </w:p>
        </w:tc>
        <w:tc>
          <w:tcPr>
            <w:tcW w:w="2439" w:type="dxa"/>
            <w:noWrap/>
          </w:tcPr>
          <w:p w14:paraId="5A4C0058">
            <w:pPr>
              <w:adjustRightInd w:val="0"/>
              <w:snapToGrid w:val="0"/>
              <w:spacing w:line="360" w:lineRule="auto"/>
              <w:rPr>
                <w:rFonts w:ascii="宋体" w:hAnsi="宋体"/>
                <w:color w:val="auto"/>
                <w:kern w:val="0"/>
                <w:sz w:val="24"/>
              </w:rPr>
            </w:pPr>
          </w:p>
        </w:tc>
        <w:tc>
          <w:tcPr>
            <w:tcW w:w="2961" w:type="dxa"/>
            <w:noWrap/>
          </w:tcPr>
          <w:p w14:paraId="69C3A0CC">
            <w:pPr>
              <w:adjustRightInd w:val="0"/>
              <w:snapToGrid w:val="0"/>
              <w:spacing w:line="360" w:lineRule="auto"/>
              <w:rPr>
                <w:rFonts w:ascii="宋体" w:hAnsi="宋体"/>
                <w:color w:val="auto"/>
                <w:kern w:val="0"/>
                <w:sz w:val="24"/>
              </w:rPr>
            </w:pPr>
          </w:p>
        </w:tc>
      </w:tr>
    </w:tbl>
    <w:p w14:paraId="38082359">
      <w:pPr>
        <w:widowControl/>
        <w:jc w:val="center"/>
        <w:rPr>
          <w:rFonts w:ascii="黑体" w:hAnsi="华文中宋" w:eastAsia="黑体"/>
          <w:color w:val="auto"/>
          <w:sz w:val="28"/>
          <w:szCs w:val="28"/>
        </w:rPr>
      </w:pPr>
      <w:r>
        <w:rPr>
          <w:rFonts w:ascii="黑体" w:hAnsi="黑体" w:eastAsia="黑体"/>
          <w:color w:val="auto"/>
          <w:sz w:val="32"/>
        </w:rPr>
        <w:br w:type="page"/>
      </w:r>
      <w:bookmarkStart w:id="59" w:name="_Toc18878"/>
      <w:bookmarkStart w:id="60" w:name="_Toc18575"/>
      <w:r>
        <w:rPr>
          <w:rFonts w:hint="eastAsia" w:ascii="黑体" w:hAnsi="华文中宋" w:eastAsia="黑体"/>
          <w:color w:val="auto"/>
          <w:sz w:val="28"/>
          <w:szCs w:val="28"/>
        </w:rPr>
        <w:t>第四节 投标文件的比较与评价（综合评分法）</w:t>
      </w:r>
      <w:bookmarkEnd w:id="59"/>
      <w:bookmarkEnd w:id="60"/>
    </w:p>
    <w:p w14:paraId="3352C957">
      <w:pPr>
        <w:widowControl/>
        <w:adjustRightInd w:val="0"/>
        <w:snapToGrid w:val="0"/>
        <w:spacing w:beforeLines="50" w:line="360" w:lineRule="auto"/>
        <w:jc w:val="left"/>
        <w:rPr>
          <w:rFonts w:ascii="黑体" w:hAnsi="黑体" w:eastAsia="黑体"/>
          <w:b/>
          <w:color w:val="auto"/>
          <w:sz w:val="24"/>
        </w:rPr>
      </w:pPr>
      <w:r>
        <w:rPr>
          <w:rFonts w:hint="eastAsia" w:ascii="黑体" w:hAnsi="黑体" w:eastAsia="黑体"/>
          <w:b/>
          <w:color w:val="auto"/>
          <w:sz w:val="24"/>
        </w:rPr>
        <w:t>1.</w:t>
      </w:r>
      <w:r>
        <w:rPr>
          <w:rFonts w:hint="eastAsia"/>
          <w:color w:val="auto"/>
        </w:rPr>
        <w:t xml:space="preserve"> </w:t>
      </w:r>
      <w:r>
        <w:rPr>
          <w:rFonts w:hint="eastAsia" w:ascii="黑体" w:hAnsi="黑体" w:eastAsia="黑体"/>
          <w:b/>
          <w:color w:val="auto"/>
          <w:sz w:val="24"/>
        </w:rPr>
        <w:t>综合评分法</w:t>
      </w:r>
    </w:p>
    <w:p w14:paraId="5F0A579C">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1.1综合评分法，指投标文件满足招标文件全部实质性要求，且按照评审因素的量化指标评审得分最高的投标人为中标候选人的评标方法。</w:t>
      </w:r>
    </w:p>
    <w:p w14:paraId="0184D837">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1.2评标因素：评审因素的设定应当与投标人所提供货物服务的质量相关，包括投标报价、技术或者服务水平、履约能力、售后服务等，但不包括第一章投标人的资格要求。本采购项目的评标因素和标准见本章本节附表1“评标方法及标准表”。</w:t>
      </w:r>
    </w:p>
    <w:p w14:paraId="70AEEC7C">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1.3未通过符合性审查的投标文件不得进入比较与评价。</w:t>
      </w:r>
    </w:p>
    <w:p w14:paraId="5F047867">
      <w:pPr>
        <w:adjustRightInd w:val="0"/>
        <w:snapToGrid w:val="0"/>
        <w:spacing w:beforeLines="50" w:line="360" w:lineRule="auto"/>
        <w:jc w:val="left"/>
        <w:rPr>
          <w:rFonts w:ascii="黑体" w:hAnsi="黑体" w:eastAsia="黑体"/>
          <w:b/>
          <w:bCs/>
          <w:color w:val="auto"/>
          <w:sz w:val="24"/>
        </w:rPr>
      </w:pPr>
      <w:r>
        <w:rPr>
          <w:rFonts w:hint="eastAsia" w:ascii="黑体" w:hAnsi="黑体" w:eastAsia="黑体"/>
          <w:b/>
          <w:bCs/>
          <w:color w:val="auto"/>
          <w:sz w:val="24"/>
        </w:rPr>
        <w:t>2.</w:t>
      </w:r>
      <w:r>
        <w:rPr>
          <w:rFonts w:hint="eastAsia"/>
          <w:color w:val="auto"/>
        </w:rPr>
        <w:t xml:space="preserve"> </w:t>
      </w:r>
      <w:r>
        <w:rPr>
          <w:rFonts w:hint="eastAsia" w:ascii="黑体" w:hAnsi="黑体" w:eastAsia="黑体"/>
          <w:b/>
          <w:bCs/>
          <w:color w:val="auto"/>
          <w:sz w:val="24"/>
        </w:rPr>
        <w:t>投标报价的算术修正及政府采购政策调整</w:t>
      </w:r>
    </w:p>
    <w:p w14:paraId="568D95CD">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2.1如果有算术错误，投标报价将按本章第二节第4.2款、第4.3款规定进行算术修正。</w:t>
      </w:r>
    </w:p>
    <w:p w14:paraId="2CA033B6">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2.2按本章本节第2.1款规定，以修正或调整后的价格确定投标人的投标报价和评标基准价，用于投标报价评价。</w:t>
      </w:r>
    </w:p>
    <w:p w14:paraId="651FC863">
      <w:pPr>
        <w:adjustRightInd w:val="0"/>
        <w:snapToGrid w:val="0"/>
        <w:spacing w:beforeLines="50" w:line="360" w:lineRule="auto"/>
        <w:jc w:val="left"/>
        <w:rPr>
          <w:rFonts w:ascii="黑体" w:hAnsi="黑体" w:eastAsia="黑体"/>
          <w:b/>
          <w:bCs/>
          <w:color w:val="auto"/>
          <w:sz w:val="24"/>
        </w:rPr>
      </w:pPr>
      <w:r>
        <w:rPr>
          <w:rFonts w:hint="eastAsia" w:ascii="黑体" w:hAnsi="黑体" w:eastAsia="黑体"/>
          <w:b/>
          <w:bCs/>
          <w:color w:val="auto"/>
          <w:sz w:val="24"/>
        </w:rPr>
        <w:t>3.</w:t>
      </w:r>
      <w:r>
        <w:rPr>
          <w:rFonts w:hint="eastAsia"/>
          <w:color w:val="auto"/>
        </w:rPr>
        <w:t xml:space="preserve"> </w:t>
      </w:r>
      <w:r>
        <w:rPr>
          <w:rFonts w:hint="eastAsia" w:ascii="黑体" w:hAnsi="黑体" w:eastAsia="黑体"/>
          <w:b/>
          <w:bCs/>
          <w:color w:val="auto"/>
          <w:sz w:val="24"/>
        </w:rPr>
        <w:t>投标报价评价</w:t>
      </w:r>
    </w:p>
    <w:p w14:paraId="76A3D1E0">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3.1投标报价评价：价格分应当采用低价优先法计算，即满足招标文件要求且投标价格最低的投标报价为评标基准价，其价格分为满分（报价权重分）。其他投标人的价格分统一按照下列公式计算：</w:t>
      </w:r>
    </w:p>
    <w:p w14:paraId="391CEA4B">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投标报价得分=（评标基准价</w:t>
      </w:r>
      <w:r>
        <w:rPr>
          <w:rFonts w:hint="eastAsia" w:ascii="宋体" w:hAnsi="宋体"/>
          <w:color w:val="auto"/>
          <w:szCs w:val="21"/>
          <w:vertAlign w:val="subscript"/>
        </w:rPr>
        <w:t>修正或调整</w:t>
      </w:r>
      <w:r>
        <w:rPr>
          <w:rFonts w:hint="eastAsia" w:ascii="宋体" w:hAnsi="宋体"/>
          <w:color w:val="auto"/>
          <w:szCs w:val="21"/>
        </w:rPr>
        <w:t>／投标报价</w:t>
      </w:r>
      <w:r>
        <w:rPr>
          <w:rFonts w:hint="eastAsia" w:ascii="宋体" w:hAnsi="宋体"/>
          <w:color w:val="auto"/>
          <w:szCs w:val="21"/>
          <w:vertAlign w:val="subscript"/>
        </w:rPr>
        <w:t>修正或调整</w:t>
      </w:r>
      <w:r>
        <w:rPr>
          <w:rFonts w:hint="eastAsia" w:ascii="宋体" w:hAnsi="宋体"/>
          <w:color w:val="auto"/>
          <w:szCs w:val="21"/>
        </w:rPr>
        <w:t>） ×100×报价权值</w:t>
      </w:r>
    </w:p>
    <w:p w14:paraId="50F14244">
      <w:pPr>
        <w:numPr>
          <w:ilvl w:val="0"/>
          <w:numId w:val="3"/>
        </w:numPr>
        <w:adjustRightInd w:val="0"/>
        <w:snapToGrid w:val="0"/>
        <w:spacing w:beforeLines="50" w:line="360" w:lineRule="auto"/>
        <w:jc w:val="left"/>
        <w:rPr>
          <w:rFonts w:ascii="黑体" w:hAnsi="黑体" w:eastAsia="黑体"/>
          <w:b/>
          <w:color w:val="auto"/>
          <w:sz w:val="24"/>
        </w:rPr>
      </w:pPr>
      <w:r>
        <w:rPr>
          <w:rFonts w:hint="eastAsia" w:ascii="黑体" w:hAnsi="黑体" w:eastAsia="黑体"/>
          <w:b/>
          <w:color w:val="auto"/>
          <w:sz w:val="24"/>
        </w:rPr>
        <w:t>技术、商务等评分项响应评价</w:t>
      </w:r>
    </w:p>
    <w:p w14:paraId="72A58F54">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4.1技术、商务等评分项响应评分。按</w:t>
      </w:r>
      <w:r>
        <w:rPr>
          <w:rFonts w:hint="eastAsia" w:ascii="宋体" w:hAnsi="宋体"/>
          <w:bCs/>
          <w:color w:val="auto"/>
          <w:szCs w:val="21"/>
        </w:rPr>
        <w:t>本章</w:t>
      </w:r>
      <w:r>
        <w:rPr>
          <w:rFonts w:hint="eastAsia" w:ascii="宋体" w:hAnsi="宋体"/>
          <w:color w:val="auto"/>
          <w:szCs w:val="21"/>
        </w:rPr>
        <w:t>本节附表1“评标方法及标准表”规定的评标因素和标准，对技术、商务等评分项计算得分。</w:t>
      </w:r>
    </w:p>
    <w:p w14:paraId="3313864E">
      <w:pPr>
        <w:numPr>
          <w:ilvl w:val="0"/>
          <w:numId w:val="3"/>
        </w:numPr>
        <w:adjustRightInd w:val="0"/>
        <w:snapToGrid w:val="0"/>
        <w:spacing w:beforeLines="50" w:line="360" w:lineRule="auto"/>
        <w:jc w:val="left"/>
        <w:rPr>
          <w:rFonts w:ascii="黑体" w:hAnsi="黑体" w:eastAsia="黑体"/>
          <w:b/>
          <w:color w:val="auto"/>
          <w:sz w:val="24"/>
        </w:rPr>
      </w:pPr>
      <w:r>
        <w:rPr>
          <w:rFonts w:hint="eastAsia" w:ascii="黑体" w:hAnsi="黑体" w:eastAsia="黑体"/>
          <w:b/>
          <w:color w:val="auto"/>
          <w:sz w:val="24"/>
        </w:rPr>
        <w:t>评标总得分</w:t>
      </w:r>
    </w:p>
    <w:p w14:paraId="6197B4FC">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5.1评标总得分为投标报价、技术、商务等评分项得分之和。</w:t>
      </w:r>
    </w:p>
    <w:p w14:paraId="1F3482EC">
      <w:pPr>
        <w:adjustRightInd w:val="0"/>
        <w:snapToGrid w:val="0"/>
        <w:spacing w:line="460" w:lineRule="exact"/>
        <w:ind w:firstLine="420" w:firstLineChars="200"/>
        <w:rPr>
          <w:rFonts w:ascii="宋体" w:hAnsi="宋体" w:cs="宋体"/>
          <w:color w:val="auto"/>
          <w:kern w:val="0"/>
          <w:szCs w:val="21"/>
          <w:lang w:val="ru-RU" w:eastAsia="ru-RU"/>
        </w:rPr>
      </w:pPr>
      <w:r>
        <w:rPr>
          <w:rFonts w:hint="eastAsia" w:ascii="宋体" w:hAnsi="宋体" w:cs="宋体"/>
          <w:color w:val="auto"/>
          <w:kern w:val="0"/>
          <w:szCs w:val="21"/>
          <w:lang w:val="ru-RU" w:eastAsia="ru-RU"/>
        </w:rPr>
        <w:t>评标总得分＝F</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n</w:t>
      </w:r>
    </w:p>
    <w:p w14:paraId="0F223CBB">
      <w:pPr>
        <w:adjustRightInd w:val="0"/>
        <w:snapToGrid w:val="0"/>
        <w:spacing w:line="460" w:lineRule="exact"/>
        <w:ind w:firstLine="420" w:firstLineChars="200"/>
        <w:rPr>
          <w:rFonts w:ascii="宋体" w:hAnsi="宋体" w:cs="宋体"/>
          <w:color w:val="auto"/>
          <w:kern w:val="0"/>
          <w:szCs w:val="21"/>
          <w:lang w:val="ru-RU" w:eastAsia="ru-RU"/>
        </w:rPr>
      </w:pP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分别为各项评审因素的得分；</w:t>
      </w:r>
    </w:p>
    <w:p w14:paraId="6FAE38A0">
      <w:pPr>
        <w:adjustRightInd w:val="0"/>
        <w:snapToGrid w:val="0"/>
        <w:spacing w:line="460" w:lineRule="exact"/>
        <w:ind w:firstLine="420" w:firstLineChars="200"/>
        <w:rPr>
          <w:rFonts w:ascii="宋体" w:hAnsi="宋体" w:cs="宋体"/>
          <w:color w:val="auto"/>
          <w:kern w:val="0"/>
          <w:szCs w:val="21"/>
          <w:lang w:val="ru-RU" w:eastAsia="ru-RU"/>
        </w:rPr>
      </w:pP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分别为各项评审因素所占的权重（A</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＝1）。</w:t>
      </w:r>
    </w:p>
    <w:p w14:paraId="26121349">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5.2评分分值计算保留小数点后两位，小数点后第三位“四舍五入”。</w:t>
      </w:r>
    </w:p>
    <w:p w14:paraId="73F03D7D">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s="宋体"/>
          <w:color w:val="auto"/>
          <w:kern w:val="0"/>
          <w:szCs w:val="21"/>
        </w:rPr>
        <w:t>5.3</w:t>
      </w:r>
      <w:r>
        <w:rPr>
          <w:rFonts w:hint="eastAsia" w:ascii="宋体" w:hAnsi="宋体"/>
          <w:color w:val="auto"/>
          <w:szCs w:val="21"/>
        </w:rPr>
        <w:t>评标时，评标委员会成员应当独立对满足招标文件全部实质性要求投标人的</w:t>
      </w:r>
      <w:r>
        <w:rPr>
          <w:rFonts w:hint="eastAsia" w:ascii="宋体" w:hAnsi="宋体"/>
          <w:bCs/>
          <w:color w:val="auto"/>
          <w:szCs w:val="21"/>
        </w:rPr>
        <w:t>投标文件</w:t>
      </w:r>
      <w:r>
        <w:rPr>
          <w:rFonts w:hint="eastAsia" w:ascii="宋体" w:hAnsi="宋体"/>
          <w:color w:val="auto"/>
          <w:szCs w:val="21"/>
        </w:rPr>
        <w:t>进行评价、评分，然后汇总每个投标人每项评分因素的得分。</w:t>
      </w:r>
    </w:p>
    <w:p w14:paraId="7C15C412">
      <w:pPr>
        <w:numPr>
          <w:ilvl w:val="0"/>
          <w:numId w:val="3"/>
        </w:numPr>
        <w:adjustRightInd w:val="0"/>
        <w:snapToGrid w:val="0"/>
        <w:spacing w:beforeLines="50" w:line="360" w:lineRule="auto"/>
        <w:jc w:val="left"/>
        <w:rPr>
          <w:rFonts w:ascii="黑体" w:hAnsi="黑体" w:eastAsia="黑体"/>
          <w:b/>
          <w:bCs/>
          <w:color w:val="auto"/>
          <w:sz w:val="24"/>
        </w:rPr>
      </w:pPr>
      <w:r>
        <w:rPr>
          <w:rFonts w:hint="eastAsia" w:ascii="黑体" w:hAnsi="黑体" w:eastAsia="黑体"/>
          <w:b/>
          <w:bCs/>
          <w:color w:val="auto"/>
          <w:sz w:val="24"/>
        </w:rPr>
        <w:t>中标候选人的推荐方法</w:t>
      </w:r>
    </w:p>
    <w:p w14:paraId="63E762D2">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A6B0ECF">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6.2得分且投标报价相同的并列，按本章第二节规定确定中标候选人。</w:t>
      </w:r>
    </w:p>
    <w:p w14:paraId="65F2554E">
      <w:pPr>
        <w:adjustRightInd w:val="0"/>
        <w:snapToGrid w:val="0"/>
        <w:spacing w:beforeLines="50" w:line="360" w:lineRule="auto"/>
        <w:ind w:firstLine="420" w:firstLineChars="200"/>
        <w:jc w:val="left"/>
        <w:rPr>
          <w:rFonts w:ascii="宋体" w:hAnsi="宋体"/>
          <w:bCs/>
          <w:color w:val="auto"/>
          <w:szCs w:val="21"/>
        </w:rPr>
      </w:pPr>
    </w:p>
    <w:p w14:paraId="0CDB57FD">
      <w:pPr>
        <w:widowControl/>
        <w:jc w:val="left"/>
        <w:rPr>
          <w:rFonts w:ascii="宋体" w:hAnsi="宋体"/>
          <w:bCs/>
          <w:color w:val="auto"/>
          <w:sz w:val="10"/>
          <w:szCs w:val="10"/>
        </w:rPr>
      </w:pPr>
      <w:r>
        <w:rPr>
          <w:rFonts w:ascii="宋体" w:hAnsi="宋体"/>
          <w:bCs/>
          <w:color w:val="auto"/>
          <w:szCs w:val="21"/>
        </w:rPr>
        <w:br w:type="page"/>
      </w:r>
    </w:p>
    <w:p w14:paraId="3F35C736">
      <w:pPr>
        <w:adjustRightInd w:val="0"/>
        <w:snapToGrid w:val="0"/>
        <w:spacing w:line="360" w:lineRule="exact"/>
        <w:rPr>
          <w:rFonts w:ascii="宋体" w:hAnsi="宋体"/>
          <w:bCs/>
          <w:color w:val="auto"/>
        </w:rPr>
      </w:pPr>
      <w:bookmarkStart w:id="61" w:name="_Toc27168"/>
      <w:bookmarkStart w:id="62" w:name="_Toc14508"/>
      <w:r>
        <w:rPr>
          <w:rFonts w:hint="eastAsia" w:ascii="宋体" w:hAnsi="宋体"/>
          <w:bCs/>
          <w:color w:val="auto"/>
        </w:rPr>
        <w:t>附表1 评标方法及标准表</w:t>
      </w:r>
      <w:bookmarkEnd w:id="61"/>
    </w:p>
    <w:p w14:paraId="7EBFC341">
      <w:pPr>
        <w:adjustRightInd w:val="0"/>
        <w:snapToGrid w:val="0"/>
        <w:spacing w:beforeLines="50" w:line="360" w:lineRule="auto"/>
        <w:jc w:val="center"/>
        <w:rPr>
          <w:rFonts w:ascii="宋体" w:hAnsi="宋体"/>
          <w:color w:val="auto"/>
          <w:szCs w:val="21"/>
        </w:rPr>
      </w:pPr>
      <w:r>
        <w:rPr>
          <w:rFonts w:hint="eastAsia" w:ascii="宋体" w:hAnsi="宋体"/>
          <w:color w:val="auto"/>
          <w:szCs w:val="21"/>
        </w:rPr>
        <w:t>本采购项目的权值见下表</w:t>
      </w:r>
      <w:r>
        <w:rPr>
          <w:rFonts w:hint="eastAsia" w:ascii="宋体" w:hAnsi="宋体"/>
          <w:color w:val="auto"/>
        </w:rPr>
        <w:t>（根据项目类型设置）</w:t>
      </w:r>
    </w:p>
    <w:tbl>
      <w:tblPr>
        <w:tblStyle w:val="30"/>
        <w:tblW w:w="88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420"/>
      </w:tblGrid>
      <w:tr w14:paraId="22CA8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20" w:type="dxa"/>
            <w:vAlign w:val="center"/>
          </w:tcPr>
          <w:p w14:paraId="40D76149">
            <w:pPr>
              <w:adjustRightInd w:val="0"/>
              <w:snapToGrid w:val="0"/>
              <w:spacing w:line="240" w:lineRule="exact"/>
              <w:rPr>
                <w:rFonts w:ascii="宋体" w:hAnsi="宋体"/>
                <w:color w:val="auto"/>
                <w:szCs w:val="21"/>
                <w:lang w:val="ru-RU" w:eastAsia="ru-RU"/>
              </w:rPr>
            </w:pPr>
            <w:r>
              <w:rPr>
                <w:rFonts w:hint="eastAsia" w:ascii="仿宋" w:hAnsi="仿宋" w:eastAsia="仿宋" w:cs="仿宋"/>
                <w:b/>
                <w:bCs/>
                <w:color w:val="auto"/>
                <w:kern w:val="0"/>
                <w:sz w:val="18"/>
                <w:szCs w:val="18"/>
                <w:lang w:val="ru-RU" w:eastAsia="ru-RU"/>
              </w:rPr>
              <w:t>序号</w:t>
            </w:r>
          </w:p>
        </w:tc>
        <w:tc>
          <w:tcPr>
            <w:tcW w:w="4680" w:type="dxa"/>
            <w:vAlign w:val="center"/>
          </w:tcPr>
          <w:p w14:paraId="78EA6FD2">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b/>
                <w:bCs/>
                <w:color w:val="auto"/>
                <w:kern w:val="0"/>
                <w:sz w:val="18"/>
                <w:szCs w:val="18"/>
                <w:lang w:val="ru-RU" w:eastAsia="ru-RU"/>
              </w:rPr>
              <w:t>项     目</w:t>
            </w:r>
          </w:p>
        </w:tc>
        <w:tc>
          <w:tcPr>
            <w:tcW w:w="3420" w:type="dxa"/>
            <w:vAlign w:val="center"/>
          </w:tcPr>
          <w:p w14:paraId="59910890">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b/>
                <w:bCs/>
                <w:color w:val="auto"/>
                <w:kern w:val="0"/>
                <w:sz w:val="18"/>
                <w:szCs w:val="18"/>
                <w:lang w:val="ru-RU" w:eastAsia="ru-RU"/>
              </w:rPr>
              <w:t>权值的取值</w:t>
            </w:r>
          </w:p>
        </w:tc>
      </w:tr>
      <w:tr w14:paraId="397775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720" w:type="dxa"/>
            <w:vAlign w:val="center"/>
          </w:tcPr>
          <w:p w14:paraId="17A8E60F">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color w:val="auto"/>
                <w:kern w:val="0"/>
                <w:sz w:val="18"/>
                <w:szCs w:val="18"/>
                <w:lang w:val="ru-RU" w:eastAsia="ru-RU"/>
              </w:rPr>
              <w:t>1</w:t>
            </w:r>
          </w:p>
        </w:tc>
        <w:tc>
          <w:tcPr>
            <w:tcW w:w="4680" w:type="dxa"/>
            <w:vAlign w:val="center"/>
          </w:tcPr>
          <w:p w14:paraId="39173ACE">
            <w:pPr>
              <w:adjustRightInd w:val="0"/>
              <w:snapToGrid w:val="0"/>
              <w:spacing w:line="240" w:lineRule="exact"/>
              <w:jc w:val="center"/>
              <w:rPr>
                <w:rFonts w:ascii="宋体" w:hAnsi="宋体"/>
                <w:color w:val="auto"/>
                <w:szCs w:val="21"/>
                <w:lang w:val="ru-RU"/>
              </w:rPr>
            </w:pPr>
            <w:r>
              <w:rPr>
                <w:rFonts w:hint="eastAsia" w:ascii="仿宋" w:hAnsi="仿宋" w:eastAsia="仿宋" w:cs="仿宋"/>
                <w:color w:val="auto"/>
                <w:kern w:val="0"/>
                <w:sz w:val="18"/>
                <w:szCs w:val="18"/>
                <w:lang w:val="ru-RU" w:eastAsia="ru-RU"/>
              </w:rPr>
              <w:t>报价</w:t>
            </w:r>
            <w:r>
              <w:rPr>
                <w:rFonts w:hint="eastAsia" w:ascii="仿宋" w:hAnsi="仿宋" w:eastAsia="仿宋" w:cs="仿宋"/>
                <w:color w:val="auto"/>
                <w:kern w:val="0"/>
                <w:sz w:val="18"/>
                <w:szCs w:val="18"/>
                <w:lang w:val="ru-RU"/>
              </w:rPr>
              <w:t>（A1）</w:t>
            </w:r>
          </w:p>
        </w:tc>
        <w:tc>
          <w:tcPr>
            <w:tcW w:w="3420" w:type="dxa"/>
            <w:vAlign w:val="center"/>
          </w:tcPr>
          <w:p w14:paraId="0F78D817">
            <w:pPr>
              <w:adjustRightInd w:val="0"/>
              <w:snapToGrid w:val="0"/>
              <w:spacing w:line="240" w:lineRule="exact"/>
              <w:jc w:val="center"/>
              <w:rPr>
                <w:rFonts w:ascii="宋体" w:hAnsi="宋体"/>
                <w:color w:val="auto"/>
                <w:szCs w:val="21"/>
              </w:rPr>
            </w:pPr>
            <w:r>
              <w:rPr>
                <w:rFonts w:hint="eastAsia" w:ascii="仿宋" w:hAnsi="仿宋" w:eastAsia="仿宋" w:cs="仿宋"/>
                <w:color w:val="auto"/>
                <w:kern w:val="0"/>
                <w:sz w:val="18"/>
                <w:szCs w:val="18"/>
              </w:rPr>
              <w:t>20%</w:t>
            </w:r>
          </w:p>
        </w:tc>
      </w:tr>
      <w:tr w14:paraId="3B4227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vAlign w:val="center"/>
          </w:tcPr>
          <w:p w14:paraId="7116FA04">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color w:val="auto"/>
                <w:kern w:val="0"/>
                <w:sz w:val="18"/>
                <w:szCs w:val="18"/>
                <w:lang w:val="ru-RU" w:eastAsia="ru-RU"/>
              </w:rPr>
              <w:t>2</w:t>
            </w:r>
          </w:p>
        </w:tc>
        <w:tc>
          <w:tcPr>
            <w:tcW w:w="4680" w:type="dxa"/>
            <w:vAlign w:val="center"/>
          </w:tcPr>
          <w:p w14:paraId="4D94BACD">
            <w:pPr>
              <w:adjustRightInd w:val="0"/>
              <w:snapToGrid w:val="0"/>
              <w:spacing w:line="240" w:lineRule="exact"/>
              <w:jc w:val="center"/>
              <w:rPr>
                <w:rFonts w:ascii="宋体" w:hAnsi="宋体"/>
                <w:color w:val="auto"/>
                <w:szCs w:val="21"/>
                <w:lang w:val="ru-RU"/>
              </w:rPr>
            </w:pPr>
            <w:r>
              <w:rPr>
                <w:rFonts w:hint="eastAsia" w:ascii="仿宋" w:hAnsi="仿宋" w:eastAsia="仿宋" w:cs="仿宋"/>
                <w:color w:val="auto"/>
                <w:kern w:val="0"/>
                <w:sz w:val="18"/>
                <w:szCs w:val="18"/>
                <w:lang w:val="ru-RU" w:eastAsia="ru-RU"/>
              </w:rPr>
              <w:t>技术</w:t>
            </w:r>
            <w:r>
              <w:rPr>
                <w:rFonts w:hint="eastAsia" w:ascii="仿宋" w:hAnsi="仿宋" w:eastAsia="仿宋" w:cs="仿宋"/>
                <w:color w:val="auto"/>
                <w:kern w:val="0"/>
                <w:sz w:val="18"/>
                <w:szCs w:val="18"/>
                <w:lang w:val="ru-RU"/>
              </w:rPr>
              <w:t>（A2）</w:t>
            </w:r>
          </w:p>
        </w:tc>
        <w:tc>
          <w:tcPr>
            <w:tcW w:w="3420" w:type="dxa"/>
            <w:vAlign w:val="center"/>
          </w:tcPr>
          <w:p w14:paraId="366F079C">
            <w:pPr>
              <w:adjustRightInd w:val="0"/>
              <w:snapToGrid w:val="0"/>
              <w:spacing w:line="240" w:lineRule="exact"/>
              <w:jc w:val="center"/>
              <w:rPr>
                <w:rFonts w:ascii="宋体" w:hAnsi="宋体"/>
                <w:color w:val="auto"/>
                <w:szCs w:val="21"/>
              </w:rPr>
            </w:pPr>
            <w:r>
              <w:rPr>
                <w:rFonts w:hint="eastAsia" w:ascii="仿宋" w:hAnsi="仿宋" w:eastAsia="仿宋" w:cs="仿宋"/>
                <w:color w:val="auto"/>
                <w:kern w:val="0"/>
                <w:sz w:val="18"/>
                <w:szCs w:val="18"/>
              </w:rPr>
              <w:t>50%</w:t>
            </w:r>
          </w:p>
        </w:tc>
      </w:tr>
      <w:tr w14:paraId="228CA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vAlign w:val="center"/>
          </w:tcPr>
          <w:p w14:paraId="5F0ABBC7">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color w:val="auto"/>
                <w:kern w:val="0"/>
                <w:sz w:val="18"/>
                <w:szCs w:val="18"/>
                <w:lang w:val="ru-RU" w:eastAsia="ru-RU"/>
              </w:rPr>
              <w:t>3</w:t>
            </w:r>
          </w:p>
        </w:tc>
        <w:tc>
          <w:tcPr>
            <w:tcW w:w="4680" w:type="dxa"/>
            <w:vAlign w:val="center"/>
          </w:tcPr>
          <w:p w14:paraId="181D1D36">
            <w:pPr>
              <w:adjustRightInd w:val="0"/>
              <w:snapToGrid w:val="0"/>
              <w:spacing w:line="240" w:lineRule="exact"/>
              <w:jc w:val="center"/>
              <w:rPr>
                <w:rFonts w:ascii="宋体" w:hAnsi="宋体"/>
                <w:color w:val="auto"/>
                <w:szCs w:val="21"/>
                <w:lang w:val="ru-RU"/>
              </w:rPr>
            </w:pPr>
            <w:r>
              <w:rPr>
                <w:rFonts w:hint="eastAsia" w:ascii="仿宋" w:hAnsi="仿宋" w:eastAsia="仿宋" w:cs="仿宋"/>
                <w:color w:val="auto"/>
                <w:kern w:val="0"/>
                <w:sz w:val="18"/>
                <w:szCs w:val="18"/>
                <w:lang w:val="ru-RU"/>
              </w:rPr>
              <w:t>商务（A3）</w:t>
            </w:r>
          </w:p>
        </w:tc>
        <w:tc>
          <w:tcPr>
            <w:tcW w:w="3420" w:type="dxa"/>
            <w:vAlign w:val="center"/>
          </w:tcPr>
          <w:p w14:paraId="4C5A3A82">
            <w:pPr>
              <w:adjustRightInd w:val="0"/>
              <w:snapToGrid w:val="0"/>
              <w:spacing w:line="240" w:lineRule="exact"/>
              <w:jc w:val="center"/>
              <w:rPr>
                <w:rFonts w:ascii="宋体" w:hAnsi="宋体"/>
                <w:color w:val="auto"/>
                <w:szCs w:val="21"/>
              </w:rPr>
            </w:pPr>
            <w:r>
              <w:rPr>
                <w:rFonts w:hint="eastAsia" w:ascii="仿宋" w:hAnsi="仿宋" w:eastAsia="仿宋" w:cs="仿宋"/>
                <w:color w:val="auto"/>
                <w:kern w:val="0"/>
                <w:sz w:val="18"/>
                <w:szCs w:val="18"/>
              </w:rPr>
              <w:t>30%</w:t>
            </w:r>
          </w:p>
        </w:tc>
      </w:tr>
      <w:tr w14:paraId="235A3E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400" w:type="dxa"/>
            <w:gridSpan w:val="2"/>
            <w:vAlign w:val="center"/>
          </w:tcPr>
          <w:p w14:paraId="65BB90B5">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color w:val="auto"/>
                <w:kern w:val="0"/>
                <w:sz w:val="18"/>
                <w:szCs w:val="18"/>
              </w:rPr>
              <w:t xml:space="preserve">       </w:t>
            </w:r>
            <w:r>
              <w:rPr>
                <w:rFonts w:hint="eastAsia" w:ascii="仿宋" w:hAnsi="仿宋" w:eastAsia="仿宋" w:cs="仿宋"/>
                <w:color w:val="auto"/>
                <w:kern w:val="0"/>
                <w:sz w:val="18"/>
                <w:szCs w:val="18"/>
                <w:lang w:val="ru-RU"/>
              </w:rPr>
              <w:t>合计</w:t>
            </w:r>
          </w:p>
        </w:tc>
        <w:tc>
          <w:tcPr>
            <w:tcW w:w="3420" w:type="dxa"/>
            <w:vAlign w:val="center"/>
          </w:tcPr>
          <w:p w14:paraId="455CBC92">
            <w:pPr>
              <w:adjustRightInd w:val="0"/>
              <w:snapToGrid w:val="0"/>
              <w:spacing w:line="240" w:lineRule="exact"/>
              <w:jc w:val="center"/>
              <w:rPr>
                <w:rFonts w:ascii="宋体" w:hAnsi="宋体" w:eastAsia="仿宋"/>
                <w:color w:val="auto"/>
                <w:szCs w:val="21"/>
              </w:rPr>
            </w:pPr>
            <w:r>
              <w:rPr>
                <w:rFonts w:hint="eastAsia" w:ascii="仿宋" w:hAnsi="仿宋" w:eastAsia="仿宋" w:cs="仿宋"/>
                <w:color w:val="auto"/>
                <w:kern w:val="0"/>
                <w:sz w:val="18"/>
                <w:szCs w:val="18"/>
              </w:rPr>
              <w:t>1.00（100%）</w:t>
            </w:r>
          </w:p>
        </w:tc>
      </w:tr>
    </w:tbl>
    <w:p w14:paraId="57870007">
      <w:pPr>
        <w:adjustRightInd w:val="0"/>
        <w:snapToGrid w:val="0"/>
        <w:spacing w:beforeLines="50" w:line="360" w:lineRule="auto"/>
        <w:jc w:val="center"/>
        <w:rPr>
          <w:color w:val="auto"/>
        </w:rPr>
      </w:pPr>
      <w:r>
        <w:rPr>
          <w:rFonts w:hint="eastAsia"/>
          <w:b/>
          <w:bCs/>
          <w:color w:val="auto"/>
        </w:rPr>
        <w:t>附表1.1投标报价评审标准表</w:t>
      </w:r>
    </w:p>
    <w:tbl>
      <w:tblPr>
        <w:tblStyle w:val="30"/>
        <w:tblW w:w="891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6253"/>
      </w:tblGrid>
      <w:tr w14:paraId="1C0B42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right w:val="single" w:color="auto" w:sz="4" w:space="0"/>
            </w:tcBorders>
            <w:noWrap/>
            <w:vAlign w:val="center"/>
          </w:tcPr>
          <w:p w14:paraId="3DA7166C">
            <w:pPr>
              <w:adjustRightInd w:val="0"/>
              <w:snapToGrid w:val="0"/>
              <w:jc w:val="center"/>
              <w:rPr>
                <w:rFonts w:ascii="宋体" w:hAnsi="宋体"/>
                <w:b/>
                <w:color w:val="auto"/>
                <w:sz w:val="18"/>
                <w:szCs w:val="18"/>
              </w:rPr>
            </w:pPr>
            <w:r>
              <w:rPr>
                <w:rFonts w:hint="eastAsia" w:ascii="宋体" w:hAnsi="宋体"/>
                <w:b/>
                <w:color w:val="auto"/>
                <w:sz w:val="18"/>
                <w:szCs w:val="18"/>
              </w:rPr>
              <w:t>序号</w:t>
            </w:r>
          </w:p>
        </w:tc>
        <w:tc>
          <w:tcPr>
            <w:tcW w:w="2160" w:type="dxa"/>
            <w:tcBorders>
              <w:left w:val="single" w:color="auto" w:sz="4" w:space="0"/>
              <w:right w:val="single" w:color="auto" w:sz="4" w:space="0"/>
            </w:tcBorders>
            <w:noWrap/>
            <w:vAlign w:val="center"/>
          </w:tcPr>
          <w:p w14:paraId="5A68171D">
            <w:pPr>
              <w:adjustRightInd w:val="0"/>
              <w:snapToGrid w:val="0"/>
              <w:jc w:val="center"/>
              <w:rPr>
                <w:rFonts w:ascii="宋体" w:hAnsi="宋体"/>
                <w:b/>
                <w:color w:val="auto"/>
                <w:sz w:val="18"/>
                <w:szCs w:val="18"/>
              </w:rPr>
            </w:pPr>
            <w:r>
              <w:rPr>
                <w:rFonts w:hint="eastAsia" w:ascii="宋体" w:hAnsi="宋体"/>
                <w:b/>
                <w:color w:val="auto"/>
                <w:sz w:val="18"/>
                <w:szCs w:val="18"/>
              </w:rPr>
              <w:t>评标因素（分值）</w:t>
            </w:r>
          </w:p>
        </w:tc>
        <w:tc>
          <w:tcPr>
            <w:tcW w:w="6253" w:type="dxa"/>
            <w:tcBorders>
              <w:left w:val="single" w:color="auto" w:sz="4" w:space="0"/>
            </w:tcBorders>
            <w:noWrap/>
            <w:vAlign w:val="center"/>
          </w:tcPr>
          <w:p w14:paraId="236D96BE">
            <w:pPr>
              <w:adjustRightInd w:val="0"/>
              <w:snapToGrid w:val="0"/>
              <w:jc w:val="center"/>
              <w:rPr>
                <w:rFonts w:ascii="宋体" w:hAnsi="宋体"/>
                <w:b/>
                <w:color w:val="auto"/>
                <w:sz w:val="18"/>
                <w:szCs w:val="18"/>
              </w:rPr>
            </w:pPr>
            <w:r>
              <w:rPr>
                <w:rFonts w:hint="eastAsia" w:ascii="宋体" w:hAnsi="宋体"/>
                <w:b/>
                <w:color w:val="auto"/>
                <w:sz w:val="18"/>
                <w:szCs w:val="18"/>
              </w:rPr>
              <w:t>评标标准</w:t>
            </w:r>
          </w:p>
        </w:tc>
      </w:tr>
      <w:tr w14:paraId="11C67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3" w:type="dxa"/>
            <w:tcBorders>
              <w:right w:val="single" w:color="auto" w:sz="4" w:space="0"/>
            </w:tcBorders>
            <w:noWrap/>
            <w:vAlign w:val="center"/>
          </w:tcPr>
          <w:p w14:paraId="709B7D32">
            <w:pPr>
              <w:adjustRightInd w:val="0"/>
              <w:snapToGrid w:val="0"/>
              <w:spacing w:beforeLines="50"/>
              <w:jc w:val="center"/>
              <w:rPr>
                <w:rFonts w:ascii="宋体" w:hAnsi="宋体"/>
                <w:color w:val="auto"/>
                <w:sz w:val="18"/>
                <w:szCs w:val="18"/>
              </w:rPr>
            </w:pPr>
            <w:r>
              <w:rPr>
                <w:rFonts w:hint="eastAsia" w:ascii="宋体" w:hAnsi="宋体"/>
                <w:color w:val="auto"/>
                <w:sz w:val="18"/>
                <w:szCs w:val="18"/>
              </w:rPr>
              <w:t>1</w:t>
            </w:r>
          </w:p>
        </w:tc>
        <w:tc>
          <w:tcPr>
            <w:tcW w:w="2160" w:type="dxa"/>
            <w:tcBorders>
              <w:left w:val="single" w:color="auto" w:sz="4" w:space="0"/>
              <w:right w:val="single" w:color="auto" w:sz="4" w:space="0"/>
            </w:tcBorders>
            <w:noWrap/>
            <w:vAlign w:val="center"/>
          </w:tcPr>
          <w:p w14:paraId="5A8A1225">
            <w:pPr>
              <w:adjustRightInd w:val="0"/>
              <w:snapToGrid w:val="0"/>
              <w:jc w:val="center"/>
              <w:rPr>
                <w:rFonts w:ascii="宋体" w:hAnsi="宋体"/>
                <w:color w:val="auto"/>
                <w:sz w:val="18"/>
                <w:szCs w:val="18"/>
              </w:rPr>
            </w:pPr>
            <w:r>
              <w:rPr>
                <w:rFonts w:hint="eastAsia" w:ascii="宋体" w:hAnsi="宋体"/>
                <w:color w:val="auto"/>
                <w:sz w:val="18"/>
                <w:szCs w:val="18"/>
              </w:rPr>
              <w:t>价格评价项</w:t>
            </w:r>
          </w:p>
          <w:p w14:paraId="3F5B67F7">
            <w:pPr>
              <w:adjustRightInd w:val="0"/>
              <w:snapToGrid w:val="0"/>
              <w:jc w:val="center"/>
              <w:rPr>
                <w:rFonts w:ascii="宋体" w:hAnsi="宋体"/>
                <w:color w:val="auto"/>
                <w:sz w:val="18"/>
                <w:szCs w:val="18"/>
              </w:rPr>
            </w:pPr>
            <w:r>
              <w:rPr>
                <w:rFonts w:hint="eastAsia" w:ascii="宋体" w:hAnsi="宋体"/>
                <w:color w:val="auto"/>
                <w:sz w:val="18"/>
                <w:szCs w:val="18"/>
              </w:rPr>
              <w:t>（F=100分）权重20%</w:t>
            </w:r>
          </w:p>
        </w:tc>
        <w:tc>
          <w:tcPr>
            <w:tcW w:w="6253" w:type="dxa"/>
            <w:tcBorders>
              <w:left w:val="single" w:color="auto" w:sz="4" w:space="0"/>
            </w:tcBorders>
            <w:noWrap/>
            <w:vAlign w:val="center"/>
          </w:tcPr>
          <w:p w14:paraId="2024D93D">
            <w:pPr>
              <w:spacing w:line="360" w:lineRule="exact"/>
              <w:rPr>
                <w:rStyle w:val="38"/>
                <w:rFonts w:ascii="宋体" w:hAnsi="宋体"/>
                <w:color w:val="auto"/>
                <w:szCs w:val="21"/>
              </w:rPr>
            </w:pPr>
            <w:r>
              <w:rPr>
                <w:rStyle w:val="38"/>
                <w:rFonts w:ascii="宋体" w:hAnsi="宋体"/>
                <w:color w:val="auto"/>
                <w:szCs w:val="21"/>
              </w:rPr>
              <w:t>满足</w:t>
            </w:r>
            <w:r>
              <w:rPr>
                <w:rStyle w:val="38"/>
                <w:rFonts w:hint="eastAsia" w:ascii="宋体" w:hAnsi="宋体"/>
                <w:color w:val="auto"/>
                <w:szCs w:val="21"/>
              </w:rPr>
              <w:t>招标</w:t>
            </w:r>
            <w:r>
              <w:rPr>
                <w:rStyle w:val="38"/>
                <w:rFonts w:ascii="宋体" w:hAnsi="宋体"/>
                <w:color w:val="auto"/>
                <w:szCs w:val="21"/>
              </w:rPr>
              <w:t>文件要求且经评标委员会认定报价最低的供应商的价格为基准价，其价格分为满分。其他供应商的价格分统一按照下列公式计算：</w:t>
            </w:r>
          </w:p>
          <w:p w14:paraId="36D1C39F">
            <w:pPr>
              <w:spacing w:line="360" w:lineRule="exact"/>
              <w:rPr>
                <w:rStyle w:val="38"/>
                <w:rFonts w:ascii="宋体" w:hAnsi="宋体"/>
                <w:color w:val="auto"/>
                <w:szCs w:val="21"/>
              </w:rPr>
            </w:pPr>
            <w:r>
              <w:rPr>
                <w:rStyle w:val="38"/>
                <w:rFonts w:ascii="宋体" w:hAnsi="宋体"/>
                <w:color w:val="auto"/>
                <w:szCs w:val="21"/>
              </w:rPr>
              <w:t>报价得分=（基准价/报价）×</w:t>
            </w:r>
            <w:bookmarkStart w:id="63" w:name="OLE_LINK4"/>
            <w:bookmarkStart w:id="64" w:name="OLE_LINK3"/>
            <w:r>
              <w:rPr>
                <w:rStyle w:val="38"/>
                <w:rFonts w:ascii="宋体" w:hAnsi="宋体"/>
                <w:color w:val="auto"/>
                <w:szCs w:val="21"/>
              </w:rPr>
              <w:t>价格分值</w:t>
            </w:r>
            <w:bookmarkEnd w:id="63"/>
            <w:bookmarkEnd w:id="64"/>
            <w:r>
              <w:rPr>
                <w:rStyle w:val="38"/>
                <w:rFonts w:ascii="宋体" w:hAnsi="宋体"/>
                <w:color w:val="auto"/>
                <w:szCs w:val="21"/>
              </w:rPr>
              <w:t>×</w:t>
            </w:r>
            <w:r>
              <w:rPr>
                <w:rFonts w:hint="eastAsia" w:ascii="宋体" w:hAnsi="宋体" w:cs="宋体"/>
                <w:color w:val="auto"/>
                <w:kern w:val="0"/>
                <w:sz w:val="20"/>
                <w:szCs w:val="21"/>
                <w:lang w:val="ru-RU" w:eastAsia="ru-RU"/>
              </w:rPr>
              <w:t>权值</w:t>
            </w:r>
          </w:p>
          <w:p w14:paraId="23F22BB6">
            <w:pPr>
              <w:spacing w:line="360" w:lineRule="exact"/>
              <w:rPr>
                <w:rStyle w:val="38"/>
                <w:rFonts w:ascii="宋体" w:hAnsi="宋体"/>
                <w:color w:val="auto"/>
                <w:szCs w:val="21"/>
              </w:rPr>
            </w:pPr>
            <w:r>
              <w:rPr>
                <w:rStyle w:val="38"/>
                <w:rFonts w:ascii="宋体" w:hAnsi="宋体"/>
                <w:color w:val="auto"/>
                <w:szCs w:val="21"/>
              </w:rPr>
              <w:t>项目评审过程中，不得去掉最后报价中的最高报价和最低报价。</w:t>
            </w:r>
          </w:p>
          <w:p w14:paraId="1040F5D3">
            <w:pPr>
              <w:rPr>
                <w:color w:val="auto"/>
              </w:rPr>
            </w:pPr>
            <w:r>
              <w:rPr>
                <w:rStyle w:val="38"/>
                <w:rFonts w:ascii="宋体" w:hAnsi="宋体"/>
                <w:b/>
                <w:color w:val="auto"/>
                <w:szCs w:val="21"/>
              </w:rPr>
              <w:t>注：评标委员会认为供应商的报价明显低于其他通过符合性审查供应商的报价，有可能影响产品质量或者不能诚信履约的，应当要求其在合理的时间内</w:t>
            </w:r>
            <w:r>
              <w:rPr>
                <w:rStyle w:val="38"/>
                <w:rFonts w:hint="eastAsia" w:ascii="宋体" w:hAnsi="宋体"/>
                <w:b/>
                <w:color w:val="auto"/>
                <w:szCs w:val="21"/>
              </w:rPr>
              <w:t>进行</w:t>
            </w:r>
            <w:r>
              <w:rPr>
                <w:rStyle w:val="38"/>
                <w:rFonts w:ascii="宋体" w:hAnsi="宋体"/>
                <w:b/>
                <w:color w:val="auto"/>
                <w:szCs w:val="21"/>
              </w:rPr>
              <w:t>说明，必要时提交相关证明材料；供应商不能证明其报价合理性的，评标委员会应当将其作为无效投标处理。</w:t>
            </w:r>
          </w:p>
        </w:tc>
      </w:tr>
    </w:tbl>
    <w:p w14:paraId="198A0B78">
      <w:pPr>
        <w:pStyle w:val="2"/>
        <w:ind w:firstLine="0" w:firstLineChars="0"/>
        <w:rPr>
          <w:rFonts w:ascii="宋体" w:hAnsi="宋体"/>
          <w:color w:val="auto"/>
          <w:lang w:val="ru-RU" w:eastAsia="ru-RU"/>
        </w:rPr>
      </w:pPr>
    </w:p>
    <w:p w14:paraId="43A53CAB">
      <w:pPr>
        <w:spacing w:line="440" w:lineRule="exact"/>
        <w:rPr>
          <w:rFonts w:ascii="宋体" w:hAnsi="宋体"/>
          <w:b/>
          <w:bCs/>
          <w:color w:val="auto"/>
          <w:szCs w:val="21"/>
          <w:lang w:val="ru-RU" w:eastAsia="ru-RU"/>
        </w:rPr>
      </w:pPr>
      <w:r>
        <w:rPr>
          <w:rFonts w:hint="eastAsia" w:ascii="宋体" w:hAnsi="宋体"/>
          <w:b/>
          <w:bCs/>
          <w:color w:val="auto"/>
          <w:szCs w:val="21"/>
          <w:lang w:val="ru-RU" w:eastAsia="ru-RU"/>
        </w:rPr>
        <w:t>附表1.</w:t>
      </w:r>
      <w:r>
        <w:rPr>
          <w:rFonts w:hint="eastAsia" w:ascii="宋体" w:hAnsi="宋体"/>
          <w:b/>
          <w:bCs/>
          <w:color w:val="auto"/>
          <w:szCs w:val="21"/>
        </w:rPr>
        <w:t>2</w:t>
      </w:r>
      <w:r>
        <w:rPr>
          <w:rFonts w:hint="eastAsia" w:ascii="宋体" w:hAnsi="宋体"/>
          <w:b/>
          <w:bCs/>
          <w:color w:val="auto"/>
          <w:szCs w:val="21"/>
          <w:lang w:val="ru-RU" w:eastAsia="ru-RU"/>
        </w:rPr>
        <w:t>商务部分评审评分表（分值</w:t>
      </w:r>
      <w:r>
        <w:rPr>
          <w:rFonts w:hint="eastAsia" w:ascii="宋体" w:hAnsi="宋体"/>
          <w:b/>
          <w:bCs/>
          <w:color w:val="auto"/>
          <w:szCs w:val="21"/>
        </w:rPr>
        <w:t>10</w:t>
      </w:r>
      <w:r>
        <w:rPr>
          <w:rFonts w:hint="eastAsia" w:ascii="宋体" w:hAnsi="宋体"/>
          <w:b/>
          <w:bCs/>
          <w:color w:val="auto"/>
          <w:szCs w:val="21"/>
          <w:lang w:val="ru-RU" w:eastAsia="ru-RU"/>
        </w:rPr>
        <w:t>0分）</w:t>
      </w:r>
    </w:p>
    <w:tbl>
      <w:tblPr>
        <w:tblStyle w:val="30"/>
        <w:tblW w:w="99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737"/>
        <w:gridCol w:w="1075"/>
        <w:gridCol w:w="1007"/>
        <w:gridCol w:w="6393"/>
      </w:tblGrid>
      <w:tr w14:paraId="1DD09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37" w:type="dxa"/>
            <w:vAlign w:val="center"/>
          </w:tcPr>
          <w:p w14:paraId="5A8E76AA">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序号</w:t>
            </w:r>
          </w:p>
        </w:tc>
        <w:tc>
          <w:tcPr>
            <w:tcW w:w="1812" w:type="dxa"/>
            <w:gridSpan w:val="2"/>
            <w:vAlign w:val="center"/>
          </w:tcPr>
          <w:p w14:paraId="0C708934">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评审因素</w:t>
            </w:r>
          </w:p>
        </w:tc>
        <w:tc>
          <w:tcPr>
            <w:tcW w:w="7400" w:type="dxa"/>
            <w:gridSpan w:val="2"/>
            <w:vAlign w:val="center"/>
          </w:tcPr>
          <w:p w14:paraId="650CDE8C">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评分标准</w:t>
            </w:r>
          </w:p>
        </w:tc>
      </w:tr>
      <w:tr w14:paraId="05E10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737" w:type="dxa"/>
            <w:vMerge w:val="restart"/>
            <w:vAlign w:val="center"/>
          </w:tcPr>
          <w:p w14:paraId="39B906E4">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1</w:t>
            </w:r>
          </w:p>
        </w:tc>
        <w:tc>
          <w:tcPr>
            <w:tcW w:w="737" w:type="dxa"/>
            <w:vMerge w:val="restart"/>
            <w:vAlign w:val="center"/>
          </w:tcPr>
          <w:p w14:paraId="36ACE231">
            <w:pPr>
              <w:adjustRightInd w:val="0"/>
              <w:snapToGrid w:val="0"/>
              <w:jc w:val="center"/>
              <w:rPr>
                <w:rFonts w:ascii="宋体" w:hAnsi="宋体"/>
                <w:color w:val="auto"/>
                <w:sz w:val="18"/>
                <w:szCs w:val="18"/>
              </w:rPr>
            </w:pPr>
            <w:r>
              <w:rPr>
                <w:rFonts w:hint="eastAsia" w:ascii="宋体" w:hAnsi="宋体"/>
                <w:color w:val="auto"/>
                <w:sz w:val="18"/>
                <w:szCs w:val="18"/>
              </w:rPr>
              <w:t>商务评价项</w:t>
            </w:r>
          </w:p>
          <w:p w14:paraId="2EDBBA69">
            <w:pPr>
              <w:adjustRightInd w:val="0"/>
              <w:snapToGrid w:val="0"/>
              <w:spacing w:beforeLines="50" w:line="360" w:lineRule="auto"/>
              <w:rPr>
                <w:rFonts w:ascii="宋体" w:hAnsi="宋体" w:cs="宋体"/>
                <w:color w:val="auto"/>
                <w:szCs w:val="21"/>
              </w:rPr>
            </w:pPr>
            <w:r>
              <w:rPr>
                <w:rFonts w:hint="eastAsia" w:ascii="宋体" w:hAnsi="宋体"/>
                <w:color w:val="auto"/>
                <w:sz w:val="18"/>
                <w:szCs w:val="18"/>
              </w:rPr>
              <w:t>（F=100分）权重</w:t>
            </w:r>
            <w:r>
              <w:rPr>
                <w:rFonts w:hint="eastAsia" w:ascii="宋体" w:hAnsi="宋体"/>
                <w:color w:val="auto"/>
                <w:sz w:val="18"/>
                <w:szCs w:val="18"/>
                <w:lang w:val="en-US" w:eastAsia="zh-CN"/>
              </w:rPr>
              <w:t>30</w:t>
            </w:r>
            <w:r>
              <w:rPr>
                <w:rFonts w:hint="eastAsia" w:ascii="宋体" w:hAnsi="宋体"/>
                <w:color w:val="auto"/>
                <w:sz w:val="18"/>
                <w:szCs w:val="18"/>
              </w:rPr>
              <w:t>%</w:t>
            </w:r>
          </w:p>
        </w:tc>
        <w:tc>
          <w:tcPr>
            <w:tcW w:w="1075" w:type="dxa"/>
            <w:vAlign w:val="center"/>
          </w:tcPr>
          <w:p w14:paraId="2E0C7390">
            <w:pPr>
              <w:adjustRightInd w:val="0"/>
              <w:snapToGrid w:val="0"/>
              <w:spacing w:beforeLines="50" w:line="360" w:lineRule="auto"/>
              <w:rPr>
                <w:rFonts w:ascii="宋体" w:hAnsi="宋体" w:cs="宋体"/>
                <w:color w:val="auto"/>
                <w:szCs w:val="21"/>
              </w:rPr>
            </w:pPr>
            <w:r>
              <w:rPr>
                <w:rFonts w:hint="eastAsia" w:ascii="宋体" w:hAnsi="宋体" w:cs="宋体"/>
                <w:color w:val="auto"/>
              </w:rPr>
              <w:t>类似业绩（30分）</w:t>
            </w:r>
          </w:p>
        </w:tc>
        <w:tc>
          <w:tcPr>
            <w:tcW w:w="7400" w:type="dxa"/>
            <w:gridSpan w:val="2"/>
            <w:tcBorders>
              <w:bottom w:val="single" w:color="auto" w:sz="4" w:space="0"/>
            </w:tcBorders>
            <w:vAlign w:val="center"/>
          </w:tcPr>
          <w:p w14:paraId="6B8F141D">
            <w:pPr>
              <w:adjustRightInd w:val="0"/>
              <w:snapToGrid w:val="0"/>
              <w:spacing w:beforeLines="50"/>
              <w:jc w:val="left"/>
              <w:rPr>
                <w:rFonts w:ascii="宋体" w:hAnsi="宋体" w:cs="宋体"/>
                <w:color w:val="auto"/>
                <w:kern w:val="0"/>
                <w:szCs w:val="21"/>
              </w:rPr>
            </w:pPr>
            <w:bookmarkStart w:id="65" w:name="OLE_LINK2"/>
            <w:r>
              <w:rPr>
                <w:rFonts w:hint="eastAsia" w:ascii="宋体" w:hAnsi="宋体" w:cs="宋体"/>
                <w:color w:val="auto"/>
                <w:kern w:val="0"/>
                <w:szCs w:val="21"/>
              </w:rPr>
              <w:t>供应商</w:t>
            </w:r>
            <w:bookmarkEnd w:id="65"/>
            <w:r>
              <w:rPr>
                <w:rFonts w:hint="eastAsia" w:ascii="宋体" w:hAnsi="宋体" w:cs="宋体"/>
                <w:color w:val="auto"/>
                <w:kern w:val="0"/>
                <w:szCs w:val="21"/>
              </w:rPr>
              <w:t>在近三年具有（投标截止时间前1095天，以合同签订时间为准）类似项目业绩,每个计15分，本项满分30分。</w:t>
            </w:r>
          </w:p>
          <w:p w14:paraId="6707DBD3">
            <w:pPr>
              <w:adjustRightInd w:val="0"/>
              <w:snapToGrid w:val="0"/>
              <w:spacing w:beforeLines="50" w:line="360" w:lineRule="auto"/>
              <w:rPr>
                <w:rFonts w:ascii="宋体" w:hAnsi="宋体" w:cs="宋体"/>
                <w:color w:val="auto"/>
                <w:szCs w:val="21"/>
              </w:rPr>
            </w:pPr>
            <w:r>
              <w:rPr>
                <w:rFonts w:hint="eastAsia" w:ascii="宋体" w:hAnsi="宋体" w:cs="宋体"/>
                <w:color w:val="auto"/>
                <w:kern w:val="0"/>
                <w:szCs w:val="21"/>
              </w:rPr>
              <w:t>（评审依据：投标文件中需提供合同协议书扫描件，不提供不计分）</w:t>
            </w:r>
          </w:p>
        </w:tc>
      </w:tr>
      <w:tr w14:paraId="16365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3" w:hRule="atLeast"/>
          <w:jc w:val="center"/>
        </w:trPr>
        <w:tc>
          <w:tcPr>
            <w:tcW w:w="737" w:type="dxa"/>
            <w:vMerge w:val="continue"/>
            <w:vAlign w:val="center"/>
          </w:tcPr>
          <w:p w14:paraId="22489591">
            <w:pPr>
              <w:adjustRightInd w:val="0"/>
              <w:snapToGrid w:val="0"/>
              <w:spacing w:beforeLines="50" w:line="360" w:lineRule="auto"/>
              <w:rPr>
                <w:rFonts w:ascii="宋体" w:hAnsi="宋体" w:cs="宋体"/>
                <w:color w:val="auto"/>
                <w:szCs w:val="21"/>
              </w:rPr>
            </w:pPr>
          </w:p>
        </w:tc>
        <w:tc>
          <w:tcPr>
            <w:tcW w:w="737" w:type="dxa"/>
            <w:vMerge w:val="continue"/>
            <w:vAlign w:val="center"/>
          </w:tcPr>
          <w:p w14:paraId="389D5259">
            <w:pPr>
              <w:adjustRightInd w:val="0"/>
              <w:snapToGrid w:val="0"/>
              <w:spacing w:beforeLines="50" w:line="360" w:lineRule="auto"/>
              <w:rPr>
                <w:rFonts w:ascii="宋体" w:hAnsi="宋体" w:cs="宋体"/>
                <w:color w:val="auto"/>
                <w:szCs w:val="21"/>
              </w:rPr>
            </w:pPr>
          </w:p>
        </w:tc>
        <w:tc>
          <w:tcPr>
            <w:tcW w:w="1075" w:type="dxa"/>
            <w:vMerge w:val="restart"/>
            <w:tcBorders>
              <w:right w:val="single" w:color="auto" w:sz="4" w:space="0"/>
            </w:tcBorders>
            <w:vAlign w:val="center"/>
          </w:tcPr>
          <w:p w14:paraId="4B79C72C">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人员配置（70分）</w:t>
            </w:r>
          </w:p>
        </w:tc>
        <w:tc>
          <w:tcPr>
            <w:tcW w:w="1007" w:type="dxa"/>
            <w:tcBorders>
              <w:top w:val="single" w:color="auto" w:sz="4" w:space="0"/>
              <w:left w:val="single" w:color="auto" w:sz="4" w:space="0"/>
              <w:bottom w:val="single" w:color="auto" w:sz="4" w:space="0"/>
              <w:right w:val="single" w:color="auto" w:sz="4" w:space="0"/>
            </w:tcBorders>
            <w:vAlign w:val="center"/>
          </w:tcPr>
          <w:p w14:paraId="200EC401">
            <w:pPr>
              <w:adjustRightInd w:val="0"/>
              <w:snapToGrid w:val="0"/>
              <w:spacing w:beforeLines="50" w:line="360" w:lineRule="auto"/>
              <w:rPr>
                <w:rFonts w:ascii="宋体" w:hAnsi="宋体" w:cs="宋体"/>
                <w:b/>
                <w:bCs/>
                <w:color w:val="auto"/>
                <w:szCs w:val="21"/>
              </w:rPr>
            </w:pPr>
            <w:r>
              <w:rPr>
                <w:rFonts w:hint="eastAsia" w:ascii="宋体" w:hAnsi="宋体" w:cs="宋体"/>
                <w:b/>
                <w:bCs/>
                <w:color w:val="auto"/>
                <w:szCs w:val="21"/>
              </w:rPr>
              <w:t>20</w:t>
            </w:r>
          </w:p>
        </w:tc>
        <w:tc>
          <w:tcPr>
            <w:tcW w:w="6393" w:type="dxa"/>
            <w:tcBorders>
              <w:top w:val="single" w:color="auto" w:sz="4" w:space="0"/>
              <w:left w:val="single" w:color="auto" w:sz="4" w:space="0"/>
              <w:bottom w:val="single" w:color="auto" w:sz="4" w:space="0"/>
            </w:tcBorders>
            <w:vAlign w:val="center"/>
          </w:tcPr>
          <w:p w14:paraId="7CD93CBF">
            <w:pPr>
              <w:adjustRightInd w:val="0"/>
              <w:snapToGrid w:val="0"/>
              <w:spacing w:beforeLines="50"/>
              <w:jc w:val="left"/>
              <w:rPr>
                <w:rFonts w:ascii="宋体" w:hAnsi="宋体" w:cs="宋体"/>
                <w:color w:val="auto"/>
                <w:kern w:val="0"/>
                <w:szCs w:val="21"/>
              </w:rPr>
            </w:pPr>
            <w:r>
              <w:rPr>
                <w:rFonts w:hint="eastAsia" w:ascii="宋体" w:hAnsi="宋体" w:cs="宋体"/>
                <w:color w:val="auto"/>
                <w:kern w:val="0"/>
                <w:szCs w:val="21"/>
              </w:rPr>
              <w:t>供应商拟派的项目负责人具备高级职称的计20分，中级职称的计10分，其他不计分。（评审依据：需提供相应证书复印件以及供应商为上述人员缴纳的近3个月社保证明材料复印件并加盖供应商公章，否则不计分）</w:t>
            </w:r>
          </w:p>
        </w:tc>
      </w:tr>
      <w:tr w14:paraId="34E34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737" w:type="dxa"/>
            <w:vMerge w:val="continue"/>
            <w:vAlign w:val="center"/>
          </w:tcPr>
          <w:p w14:paraId="6F4D3410">
            <w:pPr>
              <w:adjustRightInd w:val="0"/>
              <w:snapToGrid w:val="0"/>
              <w:spacing w:beforeLines="50" w:line="360" w:lineRule="auto"/>
              <w:rPr>
                <w:rFonts w:ascii="宋体" w:hAnsi="宋体" w:cs="宋体"/>
                <w:color w:val="auto"/>
                <w:szCs w:val="21"/>
              </w:rPr>
            </w:pPr>
          </w:p>
        </w:tc>
        <w:tc>
          <w:tcPr>
            <w:tcW w:w="737" w:type="dxa"/>
            <w:vMerge w:val="continue"/>
            <w:vAlign w:val="center"/>
          </w:tcPr>
          <w:p w14:paraId="0889AA14">
            <w:pPr>
              <w:adjustRightInd w:val="0"/>
              <w:snapToGrid w:val="0"/>
              <w:spacing w:beforeLines="50" w:line="360" w:lineRule="auto"/>
              <w:rPr>
                <w:rFonts w:ascii="宋体" w:hAnsi="宋体" w:cs="宋体"/>
                <w:color w:val="auto"/>
                <w:szCs w:val="21"/>
              </w:rPr>
            </w:pPr>
          </w:p>
        </w:tc>
        <w:tc>
          <w:tcPr>
            <w:tcW w:w="1075" w:type="dxa"/>
            <w:vMerge w:val="continue"/>
            <w:tcBorders>
              <w:right w:val="single" w:color="auto" w:sz="4" w:space="0"/>
            </w:tcBorders>
            <w:vAlign w:val="center"/>
          </w:tcPr>
          <w:p w14:paraId="62354D24">
            <w:pPr>
              <w:adjustRightInd w:val="0"/>
              <w:snapToGrid w:val="0"/>
              <w:spacing w:beforeLines="50" w:line="360" w:lineRule="auto"/>
              <w:rPr>
                <w:rFonts w:ascii="宋体" w:hAnsi="宋体" w:cs="宋体"/>
                <w:color w:val="auto"/>
                <w:szCs w:val="21"/>
              </w:rPr>
            </w:pPr>
          </w:p>
        </w:tc>
        <w:tc>
          <w:tcPr>
            <w:tcW w:w="1007" w:type="dxa"/>
            <w:tcBorders>
              <w:top w:val="single" w:color="auto" w:sz="4" w:space="0"/>
              <w:left w:val="single" w:color="auto" w:sz="4" w:space="0"/>
              <w:bottom w:val="single" w:color="auto" w:sz="4" w:space="0"/>
              <w:right w:val="single" w:color="auto" w:sz="4" w:space="0"/>
            </w:tcBorders>
            <w:vAlign w:val="center"/>
          </w:tcPr>
          <w:p w14:paraId="0ED8BBA4">
            <w:pPr>
              <w:adjustRightInd w:val="0"/>
              <w:snapToGrid w:val="0"/>
              <w:spacing w:beforeLines="50" w:line="360" w:lineRule="auto"/>
              <w:rPr>
                <w:rFonts w:ascii="宋体" w:hAnsi="宋体" w:cs="宋体"/>
                <w:b/>
                <w:bCs/>
                <w:color w:val="auto"/>
                <w:kern w:val="0"/>
                <w:szCs w:val="21"/>
              </w:rPr>
            </w:pPr>
            <w:r>
              <w:rPr>
                <w:rFonts w:hint="eastAsia" w:ascii="宋体" w:hAnsi="宋体" w:cs="宋体"/>
                <w:b/>
                <w:bCs/>
                <w:color w:val="auto"/>
                <w:kern w:val="0"/>
                <w:szCs w:val="21"/>
              </w:rPr>
              <w:t>40</w:t>
            </w:r>
          </w:p>
        </w:tc>
        <w:tc>
          <w:tcPr>
            <w:tcW w:w="6393" w:type="dxa"/>
            <w:tcBorders>
              <w:top w:val="single" w:color="auto" w:sz="4" w:space="0"/>
              <w:left w:val="single" w:color="auto" w:sz="4" w:space="0"/>
              <w:bottom w:val="single" w:color="auto" w:sz="4" w:space="0"/>
            </w:tcBorders>
            <w:vAlign w:val="center"/>
          </w:tcPr>
          <w:p w14:paraId="2405C4E9">
            <w:pPr>
              <w:adjustRightInd w:val="0"/>
              <w:snapToGrid w:val="0"/>
              <w:spacing w:beforeLines="50"/>
              <w:jc w:val="left"/>
              <w:rPr>
                <w:rFonts w:ascii="宋体" w:hAnsi="宋体" w:cs="宋体"/>
                <w:color w:val="auto"/>
                <w:kern w:val="0"/>
                <w:szCs w:val="21"/>
              </w:rPr>
            </w:pPr>
            <w:r>
              <w:rPr>
                <w:rFonts w:hint="eastAsia" w:ascii="宋体" w:hAnsi="宋体" w:cs="宋体"/>
                <w:color w:val="auto"/>
                <w:kern w:val="0"/>
                <w:szCs w:val="21"/>
              </w:rPr>
              <w:t>供应商提供的服务团队不少于2个一级注册造价工程师（土木建筑专业），一级注册造价工程师总人数不少于2人的计40分，每少一个扣20分，扣完为止。</w:t>
            </w:r>
            <w:r>
              <w:rPr>
                <w:rFonts w:hint="eastAsia" w:ascii="宋体" w:hAnsi="宋体" w:eastAsia="宋体" w:cs="宋体"/>
                <w:color w:val="auto"/>
                <w:kern w:val="0"/>
                <w:sz w:val="21"/>
                <w:szCs w:val="21"/>
                <w:highlight w:val="none"/>
                <w:lang w:val="en-US" w:eastAsia="zh-CN"/>
              </w:rPr>
              <w:t>（评审依据：项目负责人具有证书的，可以计算入内。需提供相应证书复印件以及</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 w:val="21"/>
                <w:szCs w:val="21"/>
                <w:highlight w:val="none"/>
                <w:lang w:val="en-US" w:eastAsia="zh-CN"/>
              </w:rPr>
              <w:t>为上述人员缴纳的近3个月社保证明材料复印件并加盖</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 w:val="21"/>
                <w:szCs w:val="21"/>
                <w:highlight w:val="none"/>
                <w:lang w:val="en-US" w:eastAsia="zh-CN"/>
              </w:rPr>
              <w:t>公章，否则不计分）</w:t>
            </w:r>
          </w:p>
        </w:tc>
      </w:tr>
      <w:tr w14:paraId="0F72A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7" w:type="dxa"/>
            <w:vMerge w:val="continue"/>
            <w:vAlign w:val="center"/>
          </w:tcPr>
          <w:p w14:paraId="3DA42B1A">
            <w:pPr>
              <w:adjustRightInd w:val="0"/>
              <w:snapToGrid w:val="0"/>
              <w:spacing w:beforeLines="50" w:line="360" w:lineRule="auto"/>
              <w:rPr>
                <w:rFonts w:ascii="宋体" w:hAnsi="宋体" w:cs="宋体"/>
                <w:color w:val="auto"/>
                <w:szCs w:val="21"/>
              </w:rPr>
            </w:pPr>
          </w:p>
        </w:tc>
        <w:tc>
          <w:tcPr>
            <w:tcW w:w="737" w:type="dxa"/>
            <w:vMerge w:val="continue"/>
            <w:vAlign w:val="center"/>
          </w:tcPr>
          <w:p w14:paraId="4CC21EFB">
            <w:pPr>
              <w:adjustRightInd w:val="0"/>
              <w:snapToGrid w:val="0"/>
              <w:spacing w:beforeLines="50" w:line="360" w:lineRule="auto"/>
              <w:rPr>
                <w:rFonts w:ascii="宋体" w:hAnsi="宋体" w:cs="宋体"/>
                <w:color w:val="auto"/>
                <w:szCs w:val="21"/>
              </w:rPr>
            </w:pPr>
          </w:p>
        </w:tc>
        <w:tc>
          <w:tcPr>
            <w:tcW w:w="1075" w:type="dxa"/>
            <w:vMerge w:val="continue"/>
            <w:tcBorders>
              <w:right w:val="single" w:color="auto" w:sz="4" w:space="0"/>
            </w:tcBorders>
            <w:vAlign w:val="center"/>
          </w:tcPr>
          <w:p w14:paraId="283BE77D">
            <w:pPr>
              <w:adjustRightInd w:val="0"/>
              <w:snapToGrid w:val="0"/>
              <w:spacing w:beforeLines="50" w:line="360" w:lineRule="auto"/>
              <w:rPr>
                <w:rFonts w:ascii="宋体" w:hAnsi="宋体" w:cs="宋体"/>
                <w:color w:val="auto"/>
                <w:szCs w:val="21"/>
              </w:rPr>
            </w:pPr>
          </w:p>
        </w:tc>
        <w:tc>
          <w:tcPr>
            <w:tcW w:w="1007" w:type="dxa"/>
            <w:tcBorders>
              <w:top w:val="single" w:color="auto" w:sz="4" w:space="0"/>
              <w:left w:val="single" w:color="auto" w:sz="4" w:space="0"/>
              <w:right w:val="single" w:color="auto" w:sz="4" w:space="0"/>
            </w:tcBorders>
            <w:vAlign w:val="center"/>
          </w:tcPr>
          <w:p w14:paraId="10659BFD">
            <w:pPr>
              <w:adjustRightInd w:val="0"/>
              <w:snapToGrid w:val="0"/>
              <w:spacing w:beforeLines="50" w:line="360" w:lineRule="auto"/>
              <w:rPr>
                <w:rFonts w:ascii="宋体" w:hAnsi="宋体" w:cs="宋体"/>
                <w:color w:val="auto"/>
                <w:kern w:val="0"/>
                <w:szCs w:val="21"/>
              </w:rPr>
            </w:pPr>
            <w:r>
              <w:rPr>
                <w:rFonts w:hint="eastAsia" w:ascii="宋体" w:hAnsi="宋体" w:cs="宋体"/>
                <w:color w:val="auto"/>
                <w:kern w:val="0"/>
                <w:szCs w:val="21"/>
              </w:rPr>
              <w:t>10</w:t>
            </w:r>
          </w:p>
        </w:tc>
        <w:tc>
          <w:tcPr>
            <w:tcW w:w="6393" w:type="dxa"/>
            <w:tcBorders>
              <w:top w:val="single" w:color="auto" w:sz="4" w:space="0"/>
              <w:left w:val="single" w:color="auto" w:sz="4" w:space="0"/>
            </w:tcBorders>
            <w:vAlign w:val="center"/>
          </w:tcPr>
          <w:p w14:paraId="1C451D91">
            <w:pPr>
              <w:adjustRightInd w:val="0"/>
              <w:snapToGrid w:val="0"/>
              <w:spacing w:beforeLines="50" w:line="360" w:lineRule="auto"/>
              <w:rPr>
                <w:rFonts w:ascii="宋体" w:hAnsi="宋体" w:cs="宋体"/>
                <w:color w:val="auto"/>
                <w:kern w:val="0"/>
                <w:szCs w:val="21"/>
              </w:rPr>
            </w:pPr>
            <w:r>
              <w:rPr>
                <w:rFonts w:hint="eastAsia" w:ascii="宋体" w:hAnsi="宋体" w:eastAsia="宋体" w:cs="宋体"/>
                <w:color w:val="auto"/>
                <w:kern w:val="0"/>
                <w:sz w:val="21"/>
                <w:szCs w:val="21"/>
                <w:highlight w:val="none"/>
                <w:lang w:val="en-US" w:eastAsia="zh-CN"/>
              </w:rPr>
              <w:t>供应商安排到本项目的其他工程造价工作人员不少于1人的（含1人）计10分，</w:t>
            </w:r>
            <w:r>
              <w:rPr>
                <w:rFonts w:hint="eastAsia" w:ascii="宋体" w:hAnsi="宋体" w:cs="宋体"/>
                <w:color w:val="auto"/>
                <w:kern w:val="0"/>
                <w:sz w:val="21"/>
                <w:szCs w:val="21"/>
                <w:highlight w:val="none"/>
                <w:lang w:val="en-US" w:eastAsia="zh-CN"/>
              </w:rPr>
              <w:t>未提供不计分</w:t>
            </w:r>
            <w:r>
              <w:rPr>
                <w:rFonts w:hint="eastAsia" w:ascii="宋体" w:hAnsi="宋体" w:eastAsia="宋体" w:cs="宋体"/>
                <w:color w:val="auto"/>
                <w:kern w:val="0"/>
                <w:sz w:val="21"/>
                <w:szCs w:val="21"/>
                <w:highlight w:val="none"/>
                <w:lang w:val="en-US" w:eastAsia="zh-CN"/>
              </w:rPr>
              <w:t>。（评审依据：需提供二级造价工程师及以上证书复印件以及</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 w:val="21"/>
                <w:szCs w:val="21"/>
                <w:highlight w:val="none"/>
                <w:lang w:val="en-US" w:eastAsia="zh-CN"/>
              </w:rPr>
              <w:t>为上述人员缴纳的近3个月社保证明材料复印件并加盖</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 w:val="21"/>
                <w:szCs w:val="21"/>
                <w:highlight w:val="none"/>
                <w:lang w:val="en-US" w:eastAsia="zh-CN"/>
              </w:rPr>
              <w:t>公章，否则不计分）</w:t>
            </w:r>
          </w:p>
        </w:tc>
      </w:tr>
    </w:tbl>
    <w:p w14:paraId="0AB84306">
      <w:pPr>
        <w:pStyle w:val="2"/>
        <w:ind w:firstLine="0" w:firstLineChars="0"/>
        <w:rPr>
          <w:rFonts w:ascii="宋体" w:hAnsi="宋体" w:cs="宋体"/>
          <w:color w:val="auto"/>
          <w:sz w:val="21"/>
        </w:rPr>
      </w:pPr>
    </w:p>
    <w:p w14:paraId="07CC82BE">
      <w:pPr>
        <w:rPr>
          <w:rFonts w:ascii="宋体" w:hAnsi="宋体" w:cs="宋体"/>
          <w:color w:val="auto"/>
          <w:szCs w:val="21"/>
          <w:lang w:val="ru-RU" w:eastAsia="ru-RU"/>
        </w:rPr>
      </w:pPr>
      <w:r>
        <w:rPr>
          <w:rFonts w:hint="eastAsia" w:ascii="宋体" w:hAnsi="宋体" w:cs="宋体"/>
          <w:color w:val="auto"/>
          <w:szCs w:val="21"/>
          <w:lang w:val="ru-RU" w:eastAsia="ru-RU"/>
        </w:rPr>
        <w:br w:type="page"/>
      </w:r>
    </w:p>
    <w:p w14:paraId="4CCDBFD2">
      <w:pPr>
        <w:jc w:val="center"/>
        <w:rPr>
          <w:rFonts w:ascii="宋体" w:hAnsi="宋体" w:cs="宋体"/>
          <w:b/>
          <w:bCs/>
          <w:color w:val="auto"/>
          <w:szCs w:val="21"/>
          <w:lang w:val="ru-RU"/>
        </w:rPr>
      </w:pPr>
      <w:r>
        <w:rPr>
          <w:rFonts w:hint="eastAsia" w:ascii="宋体" w:hAnsi="宋体" w:cs="宋体"/>
          <w:b/>
          <w:bCs/>
          <w:color w:val="auto"/>
          <w:szCs w:val="21"/>
          <w:lang w:val="ru-RU" w:eastAsia="ru-RU"/>
        </w:rPr>
        <w:t>附表1.</w:t>
      </w:r>
      <w:r>
        <w:rPr>
          <w:rFonts w:hint="eastAsia" w:ascii="宋体" w:hAnsi="宋体" w:cs="宋体"/>
          <w:b/>
          <w:bCs/>
          <w:color w:val="auto"/>
          <w:szCs w:val="21"/>
        </w:rPr>
        <w:t>3</w:t>
      </w:r>
      <w:r>
        <w:rPr>
          <w:rFonts w:hint="eastAsia" w:ascii="宋体" w:hAnsi="宋体" w:cs="宋体"/>
          <w:b/>
          <w:bCs/>
          <w:color w:val="auto"/>
          <w:szCs w:val="21"/>
          <w:lang w:val="ru-RU" w:eastAsia="ru-RU"/>
        </w:rPr>
        <w:t>技术部分评审评分表（分值</w:t>
      </w:r>
      <w:r>
        <w:rPr>
          <w:rFonts w:hint="eastAsia" w:ascii="宋体" w:hAnsi="宋体" w:cs="宋体"/>
          <w:b/>
          <w:bCs/>
          <w:color w:val="auto"/>
          <w:szCs w:val="21"/>
        </w:rPr>
        <w:t>100</w:t>
      </w:r>
      <w:r>
        <w:rPr>
          <w:rFonts w:hint="eastAsia" w:ascii="宋体" w:hAnsi="宋体" w:cs="宋体"/>
          <w:b/>
          <w:bCs/>
          <w:color w:val="auto"/>
          <w:szCs w:val="21"/>
          <w:lang w:val="ru-RU" w:eastAsia="ru-RU"/>
        </w:rPr>
        <w:t>分）</w:t>
      </w:r>
    </w:p>
    <w:tbl>
      <w:tblPr>
        <w:tblStyle w:val="30"/>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616"/>
        <w:gridCol w:w="1126"/>
        <w:gridCol w:w="500"/>
        <w:gridCol w:w="6716"/>
      </w:tblGrid>
      <w:tr w14:paraId="4796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jc w:val="center"/>
        </w:trPr>
        <w:tc>
          <w:tcPr>
            <w:tcW w:w="616" w:type="dxa"/>
            <w:vAlign w:val="center"/>
          </w:tcPr>
          <w:p w14:paraId="6B228BFC">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序号</w:t>
            </w:r>
          </w:p>
        </w:tc>
        <w:tc>
          <w:tcPr>
            <w:tcW w:w="1742" w:type="dxa"/>
            <w:gridSpan w:val="2"/>
            <w:vAlign w:val="center"/>
          </w:tcPr>
          <w:p w14:paraId="0D0B1012">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评审因素</w:t>
            </w:r>
          </w:p>
        </w:tc>
        <w:tc>
          <w:tcPr>
            <w:tcW w:w="500" w:type="dxa"/>
            <w:vAlign w:val="center"/>
          </w:tcPr>
          <w:p w14:paraId="6ED06627">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分值</w:t>
            </w:r>
          </w:p>
        </w:tc>
        <w:tc>
          <w:tcPr>
            <w:tcW w:w="6716" w:type="dxa"/>
            <w:vAlign w:val="center"/>
          </w:tcPr>
          <w:p w14:paraId="0933AFB8">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评分标准</w:t>
            </w:r>
          </w:p>
        </w:tc>
      </w:tr>
      <w:tr w14:paraId="4612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blHeader/>
          <w:jc w:val="center"/>
        </w:trPr>
        <w:tc>
          <w:tcPr>
            <w:tcW w:w="616" w:type="dxa"/>
            <w:vMerge w:val="restart"/>
            <w:vAlign w:val="center"/>
          </w:tcPr>
          <w:p w14:paraId="6211F07A">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1</w:t>
            </w:r>
          </w:p>
        </w:tc>
        <w:tc>
          <w:tcPr>
            <w:tcW w:w="616" w:type="dxa"/>
            <w:vMerge w:val="restart"/>
            <w:vAlign w:val="center"/>
          </w:tcPr>
          <w:p w14:paraId="2B75511B">
            <w:pPr>
              <w:adjustRightInd w:val="0"/>
              <w:snapToGrid w:val="0"/>
              <w:jc w:val="center"/>
              <w:rPr>
                <w:rFonts w:ascii="宋体" w:hAnsi="宋体"/>
                <w:color w:val="auto"/>
                <w:sz w:val="18"/>
                <w:szCs w:val="18"/>
              </w:rPr>
            </w:pPr>
            <w:r>
              <w:rPr>
                <w:rFonts w:hint="eastAsia" w:ascii="宋体" w:hAnsi="宋体"/>
                <w:color w:val="auto"/>
                <w:sz w:val="18"/>
                <w:szCs w:val="18"/>
              </w:rPr>
              <w:t>技术评价项</w:t>
            </w:r>
          </w:p>
          <w:p w14:paraId="09CC29A6">
            <w:pPr>
              <w:adjustRightInd w:val="0"/>
              <w:snapToGrid w:val="0"/>
              <w:spacing w:beforeLines="50" w:line="360" w:lineRule="auto"/>
              <w:rPr>
                <w:rFonts w:ascii="宋体" w:hAnsi="宋体" w:cs="宋体"/>
                <w:color w:val="auto"/>
                <w:szCs w:val="21"/>
              </w:rPr>
            </w:pPr>
            <w:r>
              <w:rPr>
                <w:rFonts w:hint="eastAsia" w:ascii="宋体" w:hAnsi="宋体"/>
                <w:color w:val="auto"/>
                <w:sz w:val="18"/>
                <w:szCs w:val="18"/>
              </w:rPr>
              <w:t>（F=100分）权重</w:t>
            </w:r>
            <w:r>
              <w:rPr>
                <w:rFonts w:hint="eastAsia" w:ascii="宋体" w:hAnsi="宋体"/>
                <w:color w:val="auto"/>
                <w:sz w:val="18"/>
                <w:szCs w:val="18"/>
                <w:lang w:val="en-US" w:eastAsia="zh-CN"/>
              </w:rPr>
              <w:t>50</w:t>
            </w:r>
            <w:r>
              <w:rPr>
                <w:rFonts w:hint="eastAsia" w:ascii="宋体" w:hAnsi="宋体"/>
                <w:color w:val="auto"/>
                <w:sz w:val="18"/>
                <w:szCs w:val="18"/>
              </w:rPr>
              <w:t>%</w:t>
            </w:r>
            <w:bookmarkStart w:id="102" w:name="_GoBack"/>
            <w:bookmarkEnd w:id="102"/>
          </w:p>
        </w:tc>
        <w:tc>
          <w:tcPr>
            <w:tcW w:w="1126" w:type="dxa"/>
            <w:vAlign w:val="center"/>
          </w:tcPr>
          <w:p w14:paraId="6CA36E2C">
            <w:pPr>
              <w:jc w:val="center"/>
              <w:rPr>
                <w:rFonts w:ascii="宋体" w:hAnsi="宋体" w:cs="宋体"/>
                <w:color w:val="auto"/>
              </w:rPr>
            </w:pPr>
            <w:r>
              <w:rPr>
                <w:rFonts w:hint="eastAsia" w:ascii="宋体" w:hAnsi="宋体" w:cs="宋体"/>
                <w:color w:val="auto"/>
              </w:rPr>
              <w:t>对工作内容及项目背景的理解</w:t>
            </w:r>
          </w:p>
          <w:p w14:paraId="530BF34D">
            <w:pPr>
              <w:spacing w:line="300" w:lineRule="exact"/>
              <w:jc w:val="center"/>
              <w:rPr>
                <w:rFonts w:ascii="宋体" w:hAnsi="宋体" w:cs="宋体"/>
                <w:color w:val="auto"/>
                <w:szCs w:val="21"/>
              </w:rPr>
            </w:pPr>
          </w:p>
        </w:tc>
        <w:tc>
          <w:tcPr>
            <w:tcW w:w="500" w:type="dxa"/>
            <w:vAlign w:val="center"/>
          </w:tcPr>
          <w:p w14:paraId="7D5F80BA">
            <w:pPr>
              <w:spacing w:line="300" w:lineRule="exact"/>
              <w:jc w:val="center"/>
              <w:rPr>
                <w:rFonts w:ascii="宋体" w:hAnsi="宋体" w:cs="宋体"/>
                <w:color w:val="auto"/>
                <w:szCs w:val="21"/>
              </w:rPr>
            </w:pPr>
            <w:r>
              <w:rPr>
                <w:rFonts w:hint="eastAsia" w:ascii="宋体" w:hAnsi="宋体" w:cs="宋体"/>
                <w:color w:val="auto"/>
                <w:szCs w:val="21"/>
              </w:rPr>
              <w:t>20</w:t>
            </w:r>
          </w:p>
        </w:tc>
        <w:tc>
          <w:tcPr>
            <w:tcW w:w="6716" w:type="dxa"/>
            <w:vAlign w:val="center"/>
          </w:tcPr>
          <w:p w14:paraId="50732FD5">
            <w:pPr>
              <w:spacing w:beforeLines="50"/>
              <w:rPr>
                <w:rFonts w:ascii="宋体" w:hAnsi="宋体" w:cs="宋体"/>
                <w:color w:val="auto"/>
              </w:rPr>
            </w:pPr>
            <w:r>
              <w:rPr>
                <w:rFonts w:hint="eastAsia" w:ascii="宋体" w:hAnsi="宋体" w:cs="宋体"/>
                <w:color w:val="auto"/>
              </w:rPr>
              <w:t>根据本项目的特点和要求，制定对工作内容及项目背景的理解分析，至少包括：</w:t>
            </w:r>
          </w:p>
          <w:p w14:paraId="5BC9940D">
            <w:pPr>
              <w:spacing w:beforeLines="50"/>
              <w:rPr>
                <w:rFonts w:ascii="宋体" w:hAnsi="宋体" w:cs="宋体"/>
                <w:color w:val="auto"/>
              </w:rPr>
            </w:pPr>
            <w:r>
              <w:rPr>
                <w:rFonts w:hint="eastAsia" w:ascii="宋体" w:hAnsi="宋体" w:cs="宋体"/>
                <w:color w:val="auto"/>
              </w:rPr>
              <w:t>1、对工作内容的认识，包括：①开展本项工作的目的和计划；②项目执行的保证，包括人员、设备等；③完成本项目工作的方式和方法及重点把握。</w:t>
            </w:r>
          </w:p>
          <w:p w14:paraId="120D6A48">
            <w:pPr>
              <w:spacing w:beforeLines="50"/>
              <w:rPr>
                <w:rFonts w:ascii="宋体" w:hAnsi="宋体" w:cs="宋体"/>
                <w:color w:val="auto"/>
              </w:rPr>
            </w:pPr>
            <w:r>
              <w:rPr>
                <w:rFonts w:hint="eastAsia" w:ascii="宋体" w:hAnsi="宋体" w:cs="宋体"/>
                <w:color w:val="auto"/>
              </w:rPr>
              <w:t>2、项目背景的理解包括：①完成项目工作的难点分析；②如何达到本项目工作要求措施和对策。</w:t>
            </w:r>
          </w:p>
          <w:p w14:paraId="3D922814">
            <w:pPr>
              <w:spacing w:line="300" w:lineRule="exact"/>
              <w:jc w:val="left"/>
              <w:rPr>
                <w:rFonts w:ascii="宋体" w:hAnsi="宋体" w:cs="宋体"/>
                <w:color w:val="auto"/>
                <w:szCs w:val="21"/>
              </w:rPr>
            </w:pPr>
            <w:r>
              <w:rPr>
                <w:rFonts w:hint="eastAsia" w:ascii="宋体" w:hAnsi="宋体" w:cs="宋体"/>
                <w:color w:val="auto"/>
              </w:rPr>
              <w:t>每项内容满分4分，每项内容进行了阐述且满足采购实际需求得4分，每项内容虽阐述但未贴合实际情况进行论述，或内容未包括具体细节及措施得2分，满分20分，未提供内容的该项不得分。</w:t>
            </w:r>
          </w:p>
        </w:tc>
      </w:tr>
      <w:tr w14:paraId="07BB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blHeader/>
          <w:jc w:val="center"/>
        </w:trPr>
        <w:tc>
          <w:tcPr>
            <w:tcW w:w="616" w:type="dxa"/>
            <w:vMerge w:val="continue"/>
            <w:vAlign w:val="center"/>
          </w:tcPr>
          <w:p w14:paraId="44944DBA">
            <w:pPr>
              <w:adjustRightInd w:val="0"/>
              <w:snapToGrid w:val="0"/>
              <w:spacing w:beforeLines="50" w:line="360" w:lineRule="auto"/>
              <w:rPr>
                <w:rFonts w:ascii="宋体" w:hAnsi="宋体" w:cs="宋体"/>
                <w:color w:val="auto"/>
                <w:szCs w:val="21"/>
              </w:rPr>
            </w:pPr>
          </w:p>
        </w:tc>
        <w:tc>
          <w:tcPr>
            <w:tcW w:w="616" w:type="dxa"/>
            <w:vMerge w:val="continue"/>
            <w:vAlign w:val="center"/>
          </w:tcPr>
          <w:p w14:paraId="02563F73">
            <w:pPr>
              <w:adjustRightInd w:val="0"/>
              <w:snapToGrid w:val="0"/>
              <w:spacing w:beforeLines="50" w:line="360" w:lineRule="auto"/>
              <w:rPr>
                <w:rFonts w:ascii="宋体" w:hAnsi="宋体" w:cs="宋体"/>
                <w:color w:val="auto"/>
                <w:szCs w:val="21"/>
              </w:rPr>
            </w:pPr>
          </w:p>
        </w:tc>
        <w:tc>
          <w:tcPr>
            <w:tcW w:w="1126" w:type="dxa"/>
            <w:vAlign w:val="center"/>
          </w:tcPr>
          <w:p w14:paraId="5AB5B6AF">
            <w:pPr>
              <w:jc w:val="center"/>
              <w:rPr>
                <w:rFonts w:ascii="宋体" w:hAnsi="宋体" w:cs="宋体"/>
                <w:color w:val="auto"/>
              </w:rPr>
            </w:pPr>
            <w:r>
              <w:rPr>
                <w:rFonts w:hint="eastAsia" w:ascii="宋体" w:hAnsi="宋体" w:cs="宋体"/>
                <w:color w:val="auto"/>
              </w:rPr>
              <w:t>实施方案</w:t>
            </w:r>
          </w:p>
          <w:p w14:paraId="24DF1A23">
            <w:pPr>
              <w:spacing w:line="300" w:lineRule="exact"/>
              <w:jc w:val="center"/>
              <w:rPr>
                <w:rFonts w:ascii="宋体" w:hAnsi="宋体" w:cs="宋体"/>
                <w:color w:val="auto"/>
                <w:szCs w:val="21"/>
              </w:rPr>
            </w:pPr>
          </w:p>
        </w:tc>
        <w:tc>
          <w:tcPr>
            <w:tcW w:w="500" w:type="dxa"/>
            <w:vAlign w:val="center"/>
          </w:tcPr>
          <w:p w14:paraId="67CB8C64">
            <w:pPr>
              <w:spacing w:line="300" w:lineRule="exact"/>
              <w:jc w:val="center"/>
              <w:rPr>
                <w:rFonts w:ascii="宋体" w:hAnsi="宋体" w:cs="宋体"/>
                <w:color w:val="auto"/>
                <w:szCs w:val="21"/>
              </w:rPr>
            </w:pPr>
            <w:r>
              <w:rPr>
                <w:rFonts w:hint="eastAsia" w:ascii="宋体" w:hAnsi="宋体" w:cs="宋体"/>
                <w:color w:val="auto"/>
                <w:szCs w:val="21"/>
              </w:rPr>
              <w:t>40</w:t>
            </w:r>
          </w:p>
        </w:tc>
        <w:tc>
          <w:tcPr>
            <w:tcW w:w="6716" w:type="dxa"/>
            <w:vAlign w:val="center"/>
          </w:tcPr>
          <w:p w14:paraId="1BAA3498">
            <w:pPr>
              <w:spacing w:beforeLines="50"/>
              <w:rPr>
                <w:rFonts w:ascii="宋体" w:hAnsi="宋体" w:cs="宋体"/>
                <w:color w:val="auto"/>
              </w:rPr>
            </w:pPr>
            <w:r>
              <w:rPr>
                <w:rFonts w:hint="eastAsia" w:ascii="宋体" w:hAnsi="宋体" w:cs="宋体"/>
                <w:color w:val="auto"/>
              </w:rPr>
              <w:t>针对采购需求提供实施方案，内容包括：①整体思路和整体目标；②项目实施依据(如评审依据等)；③项目实施方法、标准、原则；④项目实施程序；⑤拟收集资料清单。</w:t>
            </w:r>
          </w:p>
          <w:p w14:paraId="1CEE05F2">
            <w:pPr>
              <w:spacing w:line="300" w:lineRule="exact"/>
              <w:jc w:val="left"/>
              <w:rPr>
                <w:rFonts w:ascii="宋体" w:hAnsi="宋体" w:cs="宋体"/>
                <w:color w:val="auto"/>
                <w:szCs w:val="21"/>
              </w:rPr>
            </w:pPr>
            <w:r>
              <w:rPr>
                <w:rFonts w:hint="eastAsia" w:ascii="宋体" w:hAnsi="宋体" w:cs="宋体"/>
                <w:color w:val="auto"/>
              </w:rPr>
              <w:t>每项内容满分8分，每项内容进行了阐述且满足采购实际需求得8分；每项内容虽阐述但未贴合实际情况进行论述，或内容未包括具体实施细节及措施得4分，满分40分，未提供内容的该项不得分。</w:t>
            </w:r>
          </w:p>
        </w:tc>
      </w:tr>
      <w:tr w14:paraId="66C6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blHeader/>
          <w:jc w:val="center"/>
        </w:trPr>
        <w:tc>
          <w:tcPr>
            <w:tcW w:w="616" w:type="dxa"/>
            <w:vMerge w:val="continue"/>
            <w:vAlign w:val="center"/>
          </w:tcPr>
          <w:p w14:paraId="0D8B272B">
            <w:pPr>
              <w:adjustRightInd w:val="0"/>
              <w:snapToGrid w:val="0"/>
              <w:spacing w:beforeLines="50" w:line="360" w:lineRule="auto"/>
              <w:rPr>
                <w:rFonts w:ascii="宋体" w:hAnsi="宋体" w:cs="宋体"/>
                <w:color w:val="auto"/>
                <w:szCs w:val="21"/>
              </w:rPr>
            </w:pPr>
          </w:p>
        </w:tc>
        <w:tc>
          <w:tcPr>
            <w:tcW w:w="616" w:type="dxa"/>
            <w:vMerge w:val="continue"/>
            <w:vAlign w:val="center"/>
          </w:tcPr>
          <w:p w14:paraId="4A5FB0EB">
            <w:pPr>
              <w:adjustRightInd w:val="0"/>
              <w:snapToGrid w:val="0"/>
              <w:spacing w:beforeLines="50" w:line="360" w:lineRule="auto"/>
              <w:rPr>
                <w:rFonts w:ascii="宋体" w:hAnsi="宋体" w:cs="宋体"/>
                <w:color w:val="auto"/>
                <w:szCs w:val="21"/>
              </w:rPr>
            </w:pPr>
          </w:p>
        </w:tc>
        <w:tc>
          <w:tcPr>
            <w:tcW w:w="1126" w:type="dxa"/>
            <w:vAlign w:val="center"/>
          </w:tcPr>
          <w:p w14:paraId="2CBACC9D">
            <w:pPr>
              <w:jc w:val="center"/>
              <w:rPr>
                <w:rFonts w:ascii="宋体" w:hAnsi="宋体" w:cs="宋体"/>
                <w:color w:val="auto"/>
              </w:rPr>
            </w:pPr>
            <w:r>
              <w:rPr>
                <w:rFonts w:hint="eastAsia" w:ascii="宋体" w:hAnsi="宋体" w:cs="宋体"/>
                <w:color w:val="auto"/>
              </w:rPr>
              <w:t>服务质量及保障措施</w:t>
            </w:r>
          </w:p>
          <w:p w14:paraId="78E99CAB">
            <w:pPr>
              <w:spacing w:line="300" w:lineRule="exact"/>
              <w:jc w:val="center"/>
              <w:rPr>
                <w:rFonts w:ascii="宋体" w:hAnsi="宋体" w:cs="宋体"/>
                <w:color w:val="auto"/>
                <w:szCs w:val="21"/>
              </w:rPr>
            </w:pPr>
          </w:p>
        </w:tc>
        <w:tc>
          <w:tcPr>
            <w:tcW w:w="500" w:type="dxa"/>
            <w:vAlign w:val="center"/>
          </w:tcPr>
          <w:p w14:paraId="52C7AB03">
            <w:pPr>
              <w:spacing w:line="300" w:lineRule="exact"/>
              <w:jc w:val="center"/>
              <w:rPr>
                <w:rFonts w:ascii="宋体" w:hAnsi="宋体" w:cs="宋体"/>
                <w:color w:val="auto"/>
                <w:szCs w:val="21"/>
              </w:rPr>
            </w:pPr>
            <w:r>
              <w:rPr>
                <w:rFonts w:hint="eastAsia" w:ascii="宋体" w:hAnsi="宋体" w:cs="宋体"/>
                <w:color w:val="auto"/>
                <w:szCs w:val="21"/>
              </w:rPr>
              <w:t>32</w:t>
            </w:r>
          </w:p>
        </w:tc>
        <w:tc>
          <w:tcPr>
            <w:tcW w:w="6716" w:type="dxa"/>
            <w:vAlign w:val="center"/>
          </w:tcPr>
          <w:p w14:paraId="1FB905A5">
            <w:pPr>
              <w:spacing w:beforeLines="50"/>
              <w:rPr>
                <w:rFonts w:ascii="宋体" w:hAnsi="宋体" w:cs="宋体"/>
                <w:color w:val="auto"/>
              </w:rPr>
            </w:pPr>
            <w:r>
              <w:rPr>
                <w:rFonts w:hint="eastAsia" w:ascii="宋体" w:hAnsi="宋体" w:cs="宋体"/>
                <w:color w:val="auto"/>
              </w:rPr>
              <w:t>针对采购需求提供保障措施，内容包括：①质量保障措施(如审核制度流程及审核争议问题处理程序方式等)；②进度保障措施；③成本保障措施；④风险控制措施。</w:t>
            </w:r>
          </w:p>
          <w:p w14:paraId="55CCCC7F">
            <w:pPr>
              <w:spacing w:line="300" w:lineRule="exact"/>
              <w:jc w:val="left"/>
              <w:rPr>
                <w:rFonts w:ascii="宋体" w:hAnsi="宋体" w:cs="宋体"/>
                <w:color w:val="auto"/>
                <w:szCs w:val="21"/>
              </w:rPr>
            </w:pPr>
            <w:r>
              <w:rPr>
                <w:rFonts w:hint="eastAsia" w:ascii="宋体" w:hAnsi="宋体" w:cs="宋体"/>
                <w:color w:val="auto"/>
              </w:rPr>
              <w:t>每项内容满分8分， 每项内容进行了阐述且满足采购实际需求得8分，内容虽阐述但未贴合实际情况进行论述或内容阐述不清或者不贴合本项目采购需求得4分，满分32分，未提供内容的该项不得分。</w:t>
            </w:r>
          </w:p>
        </w:tc>
      </w:tr>
      <w:tr w14:paraId="2A6F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blHeader/>
          <w:jc w:val="center"/>
        </w:trPr>
        <w:tc>
          <w:tcPr>
            <w:tcW w:w="616" w:type="dxa"/>
            <w:vMerge w:val="continue"/>
            <w:vAlign w:val="center"/>
          </w:tcPr>
          <w:p w14:paraId="605E8FD4">
            <w:pPr>
              <w:adjustRightInd w:val="0"/>
              <w:snapToGrid w:val="0"/>
              <w:spacing w:beforeLines="50" w:line="360" w:lineRule="auto"/>
              <w:rPr>
                <w:rFonts w:ascii="宋体" w:hAnsi="宋体" w:cs="宋体"/>
                <w:color w:val="auto"/>
                <w:szCs w:val="21"/>
              </w:rPr>
            </w:pPr>
          </w:p>
        </w:tc>
        <w:tc>
          <w:tcPr>
            <w:tcW w:w="616" w:type="dxa"/>
            <w:vMerge w:val="continue"/>
            <w:vAlign w:val="center"/>
          </w:tcPr>
          <w:p w14:paraId="103AEF5C">
            <w:pPr>
              <w:adjustRightInd w:val="0"/>
              <w:snapToGrid w:val="0"/>
              <w:spacing w:beforeLines="50" w:line="360" w:lineRule="auto"/>
              <w:rPr>
                <w:rFonts w:ascii="宋体" w:hAnsi="宋体" w:cs="宋体"/>
                <w:color w:val="auto"/>
                <w:szCs w:val="21"/>
              </w:rPr>
            </w:pPr>
          </w:p>
        </w:tc>
        <w:tc>
          <w:tcPr>
            <w:tcW w:w="1126" w:type="dxa"/>
            <w:vAlign w:val="center"/>
          </w:tcPr>
          <w:p w14:paraId="23024507">
            <w:pPr>
              <w:jc w:val="center"/>
              <w:rPr>
                <w:rFonts w:ascii="宋体" w:hAnsi="宋体" w:cs="宋体"/>
                <w:color w:val="auto"/>
              </w:rPr>
            </w:pPr>
            <w:r>
              <w:rPr>
                <w:rFonts w:hint="eastAsia" w:ascii="宋体" w:hAnsi="宋体" w:cs="宋体"/>
                <w:color w:val="auto"/>
              </w:rPr>
              <w:t>相关服务承诺及合理化建议</w:t>
            </w:r>
          </w:p>
          <w:p w14:paraId="4114AE10">
            <w:pPr>
              <w:spacing w:line="300" w:lineRule="exact"/>
              <w:jc w:val="center"/>
              <w:rPr>
                <w:rFonts w:ascii="宋体" w:hAnsi="宋体" w:cs="宋体"/>
                <w:color w:val="auto"/>
                <w:szCs w:val="21"/>
              </w:rPr>
            </w:pPr>
            <w:r>
              <w:rPr>
                <w:rFonts w:hint="eastAsia" w:ascii="宋体" w:hAnsi="宋体" w:cs="宋体"/>
                <w:color w:val="auto"/>
              </w:rPr>
              <w:t>(8分)</w:t>
            </w:r>
          </w:p>
        </w:tc>
        <w:tc>
          <w:tcPr>
            <w:tcW w:w="500" w:type="dxa"/>
            <w:vAlign w:val="center"/>
          </w:tcPr>
          <w:p w14:paraId="4DEBB22D">
            <w:pPr>
              <w:spacing w:line="300" w:lineRule="exact"/>
              <w:jc w:val="center"/>
              <w:rPr>
                <w:rFonts w:ascii="宋体" w:hAnsi="宋体" w:cs="宋体"/>
                <w:color w:val="auto"/>
                <w:szCs w:val="21"/>
              </w:rPr>
            </w:pPr>
            <w:r>
              <w:rPr>
                <w:rFonts w:hint="eastAsia" w:ascii="宋体" w:hAnsi="宋体" w:cs="宋体"/>
                <w:color w:val="auto"/>
                <w:szCs w:val="21"/>
              </w:rPr>
              <w:t>8</w:t>
            </w:r>
          </w:p>
        </w:tc>
        <w:tc>
          <w:tcPr>
            <w:tcW w:w="6716" w:type="dxa"/>
            <w:vAlign w:val="center"/>
          </w:tcPr>
          <w:p w14:paraId="766A8F8B">
            <w:pPr>
              <w:spacing w:beforeLines="50"/>
              <w:rPr>
                <w:rFonts w:ascii="宋体" w:hAnsi="宋体" w:cs="宋体"/>
                <w:color w:val="auto"/>
              </w:rPr>
            </w:pPr>
            <w:r>
              <w:rPr>
                <w:rFonts w:hint="eastAsia" w:ascii="宋体" w:hAnsi="宋体" w:cs="宋体"/>
                <w:color w:val="auto"/>
              </w:rPr>
              <w:t>根据本项目特点和要求，针对本项目的相关承诺至少包括：①项目进度承诺；②应急响应承诺；③售后承诺(例：配合采购人上级单位检查等)；④廉洁承诺。</w:t>
            </w:r>
          </w:p>
          <w:p w14:paraId="12B1BD09">
            <w:pPr>
              <w:spacing w:line="300" w:lineRule="exact"/>
              <w:jc w:val="left"/>
              <w:rPr>
                <w:rFonts w:ascii="宋体" w:hAnsi="宋体" w:cs="宋体"/>
                <w:color w:val="auto"/>
                <w:szCs w:val="21"/>
              </w:rPr>
            </w:pPr>
            <w:r>
              <w:rPr>
                <w:rFonts w:hint="eastAsia" w:ascii="宋体" w:hAnsi="宋体" w:cs="宋体"/>
                <w:color w:val="auto"/>
              </w:rPr>
              <w:t>每项内容满分2分，每项内容进行了阐述且满足采购实际需求得2分，内容虽阐述但未贴合实际情况进行论述或内容阐述不清或者不贴合本项目采购需求得1分，满分8分，未提供内容的该项不得分。</w:t>
            </w:r>
          </w:p>
        </w:tc>
      </w:tr>
      <w:tr w14:paraId="5467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blHeader/>
          <w:jc w:val="center"/>
        </w:trPr>
        <w:tc>
          <w:tcPr>
            <w:tcW w:w="616" w:type="dxa"/>
            <w:vAlign w:val="center"/>
          </w:tcPr>
          <w:p w14:paraId="49CB8B16">
            <w:pPr>
              <w:pStyle w:val="7"/>
              <w:rPr>
                <w:rFonts w:hAnsi="宋体" w:cs="宋体"/>
                <w:color w:val="auto"/>
                <w:szCs w:val="21"/>
              </w:rPr>
            </w:pPr>
            <w:r>
              <w:rPr>
                <w:rFonts w:hint="eastAsia" w:hAnsi="宋体" w:cs="宋体"/>
                <w:color w:val="auto"/>
                <w:szCs w:val="21"/>
              </w:rPr>
              <w:t>2</w:t>
            </w:r>
          </w:p>
        </w:tc>
        <w:tc>
          <w:tcPr>
            <w:tcW w:w="8958" w:type="dxa"/>
            <w:gridSpan w:val="4"/>
            <w:vAlign w:val="center"/>
          </w:tcPr>
          <w:p w14:paraId="4928E9EF">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备注：请在响应文件的目录中标注以上计分项对应的页码，以免影响评分。</w:t>
            </w:r>
          </w:p>
          <w:p w14:paraId="1FF2120E">
            <w:pPr>
              <w:pStyle w:val="5"/>
              <w:ind w:left="0" w:leftChars="0" w:firstLine="0" w:firstLineChars="0"/>
              <w:rPr>
                <w:rFonts w:ascii="宋体" w:hAnsi="宋体" w:cs="宋体"/>
                <w:color w:val="auto"/>
                <w:szCs w:val="21"/>
              </w:rPr>
            </w:pPr>
            <w:r>
              <w:rPr>
                <w:rFonts w:hint="eastAsia" w:ascii="宋体" w:hAnsi="宋体" w:cs="宋体"/>
                <w:color w:val="auto"/>
                <w:szCs w:val="21"/>
              </w:rPr>
              <w:t>（上述条款的设置，可根据项目的特点做适当调整）</w:t>
            </w:r>
          </w:p>
          <w:p w14:paraId="5BF564A2">
            <w:pPr>
              <w:pStyle w:val="7"/>
              <w:rPr>
                <w:rFonts w:hAnsi="宋体" w:cs="宋体"/>
                <w:color w:val="auto"/>
                <w:szCs w:val="21"/>
              </w:rPr>
            </w:pPr>
            <w:r>
              <w:rPr>
                <w:rFonts w:hint="eastAsia" w:hAnsi="宋体" w:cs="宋体"/>
                <w:color w:val="auto"/>
                <w:szCs w:val="21"/>
              </w:rPr>
              <w:t>评审因素技术与商务部分中如涉及“不符合要求、有缺陷、不合理、不完整”是指：非专门针对本项目或不适用项目的情形、内容不完整或缺少关键节点、套用其他项目方案、内容前后矛盾、涉及的规范及标准错误、不利于项目建设、不可能实现的情形等任意一种情形。</w:t>
            </w:r>
          </w:p>
        </w:tc>
      </w:tr>
    </w:tbl>
    <w:p w14:paraId="06CA79BA">
      <w:pPr>
        <w:pStyle w:val="16"/>
        <w:rPr>
          <w:color w:val="auto"/>
        </w:rPr>
        <w:sectPr>
          <w:pgSz w:w="11906" w:h="16838"/>
          <w:pgMar w:top="1474" w:right="1474" w:bottom="1474" w:left="1474" w:header="851" w:footer="992" w:gutter="0"/>
          <w:cols w:space="425" w:num="1"/>
          <w:docGrid w:type="linesAndChars" w:linePitch="312" w:charSpace="0"/>
        </w:sectPr>
      </w:pPr>
    </w:p>
    <w:bookmarkEnd w:id="62"/>
    <w:p w14:paraId="54F05700">
      <w:pPr>
        <w:pStyle w:val="12"/>
        <w:spacing w:before="312" w:after="156"/>
        <w:rPr>
          <w:color w:val="auto"/>
        </w:rPr>
      </w:pPr>
      <w:bookmarkStart w:id="66" w:name="_Toc29586"/>
      <w:bookmarkStart w:id="67" w:name="_Toc12252"/>
      <w:bookmarkStart w:id="68" w:name="_Toc18690"/>
      <w:r>
        <w:rPr>
          <w:rFonts w:hint="eastAsia"/>
          <w:color w:val="auto"/>
        </w:rPr>
        <w:t>第五章 采购需求</w:t>
      </w:r>
      <w:bookmarkEnd w:id="66"/>
      <w:bookmarkEnd w:id="67"/>
      <w:bookmarkEnd w:id="68"/>
    </w:p>
    <w:p w14:paraId="0E1F3EB6">
      <w:pPr>
        <w:numPr>
          <w:ilvl w:val="0"/>
          <w:numId w:val="4"/>
        </w:numPr>
        <w:adjustRightInd w:val="0"/>
        <w:snapToGrid w:val="0"/>
        <w:spacing w:line="360" w:lineRule="auto"/>
        <w:ind w:firstLine="422" w:firstLineChars="200"/>
        <w:rPr>
          <w:rFonts w:ascii="宋体" w:hAnsi="宋体" w:cs="宋体"/>
          <w:color w:val="auto"/>
          <w:szCs w:val="21"/>
        </w:rPr>
      </w:pPr>
      <w:bookmarkStart w:id="69" w:name="_Toc17069"/>
      <w:r>
        <w:rPr>
          <w:rFonts w:hint="eastAsia" w:ascii="宋体" w:hAnsi="宋体" w:cs="宋体"/>
          <w:b/>
          <w:bCs/>
          <w:color w:val="auto"/>
          <w:szCs w:val="21"/>
        </w:rPr>
        <w:t>项目基本情况</w:t>
      </w:r>
      <w:r>
        <w:rPr>
          <w:rFonts w:hint="eastAsia" w:ascii="宋体" w:hAnsi="宋体" w:cs="宋体"/>
          <w:color w:val="auto"/>
          <w:szCs w:val="21"/>
        </w:rPr>
        <w:t>：</w:t>
      </w:r>
    </w:p>
    <w:p w14:paraId="28A3BEF6">
      <w:pPr>
        <w:adjustRightInd w:val="0"/>
        <w:snapToGrid w:val="0"/>
        <w:spacing w:line="360" w:lineRule="auto"/>
        <w:ind w:firstLine="440" w:firstLineChars="200"/>
        <w:rPr>
          <w:rFonts w:hint="eastAsia" w:ascii="宋体" w:hAnsi="宋体" w:eastAsia="宋体" w:cs="宋体"/>
          <w:color w:val="auto"/>
          <w:sz w:val="22"/>
          <w:szCs w:val="21"/>
          <w:lang w:eastAsia="zh-CN"/>
        </w:rPr>
      </w:pPr>
      <w:r>
        <w:rPr>
          <w:rFonts w:hint="eastAsia" w:ascii="宋体" w:hAnsi="宋体" w:cs="宋体"/>
          <w:color w:val="auto"/>
          <w:sz w:val="22"/>
          <w:szCs w:val="21"/>
        </w:rPr>
        <w:t>1、项目名称：</w:t>
      </w:r>
      <w:r>
        <w:rPr>
          <w:rFonts w:hint="eastAsia" w:ascii="宋体" w:hAnsi="宋体"/>
          <w:color w:val="auto"/>
          <w:szCs w:val="21"/>
          <w:u w:val="single"/>
        </w:rPr>
        <w:t>娄底水府示范片万宝新区娄星南路北段及众园路建设工程结算审核造价咨询服务（万宝新区众园路西段（GK0+200~GK0+902.924、K0+528.557~K1+300）</w:t>
      </w:r>
      <w:r>
        <w:rPr>
          <w:rFonts w:hint="eastAsia" w:ascii="宋体" w:hAnsi="宋体"/>
          <w:color w:val="auto"/>
          <w:szCs w:val="21"/>
          <w:u w:val="single"/>
          <w:lang w:eastAsia="zh-CN"/>
        </w:rPr>
        <w:t>）</w:t>
      </w:r>
    </w:p>
    <w:p w14:paraId="4F4A0D97">
      <w:pPr>
        <w:adjustRightInd w:val="0"/>
        <w:snapToGrid w:val="0"/>
        <w:spacing w:beforeLines="50" w:line="360" w:lineRule="auto"/>
        <w:ind w:left="420" w:leftChars="200"/>
        <w:rPr>
          <w:rFonts w:ascii="宋体" w:hAnsi="宋体" w:cs="宋体"/>
          <w:color w:val="auto"/>
          <w:sz w:val="22"/>
          <w:szCs w:val="21"/>
        </w:rPr>
      </w:pPr>
      <w:r>
        <w:rPr>
          <w:rFonts w:hint="eastAsia" w:ascii="宋体" w:hAnsi="宋体" w:cs="宋体"/>
          <w:color w:val="auto"/>
          <w:sz w:val="22"/>
          <w:szCs w:val="21"/>
        </w:rPr>
        <w:t>2、结算送审金额：约169</w:t>
      </w:r>
      <w:r>
        <w:rPr>
          <w:rFonts w:hint="eastAsia" w:ascii="宋体" w:hAnsi="宋体" w:cs="宋体"/>
          <w:color w:val="auto"/>
          <w:sz w:val="22"/>
          <w:szCs w:val="21"/>
          <w:lang w:val="en-US" w:eastAsia="zh-CN"/>
        </w:rPr>
        <w:t>51.08</w:t>
      </w:r>
      <w:r>
        <w:rPr>
          <w:rFonts w:hint="eastAsia" w:ascii="宋体" w:hAnsi="宋体" w:cs="宋体"/>
          <w:color w:val="auto"/>
          <w:sz w:val="22"/>
          <w:szCs w:val="21"/>
        </w:rPr>
        <w:t>万元。</w:t>
      </w:r>
    </w:p>
    <w:p w14:paraId="53B87829">
      <w:pPr>
        <w:spacing w:line="360" w:lineRule="auto"/>
        <w:ind w:firstLine="422" w:firstLineChars="200"/>
        <w:jc w:val="left"/>
        <w:rPr>
          <w:rFonts w:ascii="宋体" w:hAnsi="宋体" w:cs="宋体"/>
          <w:b/>
          <w:bCs/>
          <w:color w:val="auto"/>
          <w:szCs w:val="21"/>
        </w:rPr>
      </w:pPr>
      <w:r>
        <w:rPr>
          <w:rFonts w:hint="eastAsia" w:ascii="宋体" w:hAnsi="宋体" w:cs="宋体"/>
          <w:b/>
          <w:bCs/>
          <w:color w:val="auto"/>
          <w:szCs w:val="21"/>
        </w:rPr>
        <w:t>二、项目概况：</w:t>
      </w:r>
    </w:p>
    <w:p w14:paraId="7FA5C567">
      <w:pPr>
        <w:adjustRightInd w:val="0"/>
        <w:snapToGrid w:val="0"/>
        <w:spacing w:beforeLines="50" w:line="360" w:lineRule="auto"/>
        <w:ind w:left="420" w:leftChars="200" w:firstLine="440" w:firstLineChars="200"/>
        <w:rPr>
          <w:rFonts w:hint="eastAsia" w:ascii="宋体" w:hAnsi="宋体" w:eastAsia="宋体" w:cs="宋体"/>
          <w:color w:val="auto"/>
          <w:sz w:val="22"/>
          <w:szCs w:val="21"/>
          <w:lang w:eastAsia="zh-CN"/>
        </w:rPr>
      </w:pPr>
      <w:r>
        <w:rPr>
          <w:rFonts w:hint="eastAsia" w:ascii="宋体" w:hAnsi="宋体" w:cs="宋体"/>
          <w:color w:val="auto"/>
          <w:sz w:val="22"/>
          <w:szCs w:val="21"/>
        </w:rPr>
        <w:t>本项目为娄底水府示范片万宝新区娄星南路北段及众园路建设工程结算审核造价咨询服务（万宝新区众园路西段（GK0+200~GK0+902.924、K0+528.557~K1+300）</w:t>
      </w:r>
      <w:r>
        <w:rPr>
          <w:rFonts w:hint="eastAsia" w:ascii="宋体" w:hAnsi="宋体" w:cs="宋体"/>
          <w:color w:val="auto"/>
          <w:sz w:val="22"/>
          <w:szCs w:val="21"/>
          <w:lang w:eastAsia="zh-CN"/>
        </w:rPr>
        <w:t>）</w:t>
      </w:r>
      <w:r>
        <w:rPr>
          <w:rFonts w:hint="eastAsia" w:ascii="宋体" w:hAnsi="宋体" w:cs="宋体"/>
          <w:color w:val="auto"/>
          <w:sz w:val="22"/>
          <w:szCs w:val="21"/>
        </w:rPr>
        <w:t>，主要包括道路工程、排水工程、人行道工程、市政管沟工程、标识标牌工程等及因道路施工造成水、电、气、路等改造需施工单位实施的工作内容的竣工结算审核造价咨询服务。供应商在复审期间需提供咨询服务，相关咨询费用已包含在合同总价中</w:t>
      </w:r>
      <w:r>
        <w:rPr>
          <w:rFonts w:hint="eastAsia" w:ascii="宋体" w:hAnsi="宋体" w:cs="宋体"/>
          <w:color w:val="auto"/>
          <w:sz w:val="22"/>
          <w:szCs w:val="21"/>
          <w:lang w:eastAsia="zh-CN"/>
        </w:rPr>
        <w:t>。</w:t>
      </w:r>
    </w:p>
    <w:p w14:paraId="11826448">
      <w:pPr>
        <w:spacing w:line="440" w:lineRule="exact"/>
        <w:ind w:firstLine="422" w:firstLineChars="200"/>
        <w:jc w:val="left"/>
        <w:rPr>
          <w:rFonts w:ascii="宋体" w:hAnsi="宋体" w:cs="宋体"/>
          <w:b/>
          <w:bCs/>
          <w:color w:val="auto"/>
          <w:szCs w:val="21"/>
        </w:rPr>
      </w:pPr>
      <w:r>
        <w:rPr>
          <w:rFonts w:hint="eastAsia" w:ascii="宋体" w:hAnsi="宋体" w:cs="宋体"/>
          <w:b/>
          <w:bCs/>
          <w:color w:val="auto"/>
          <w:szCs w:val="21"/>
        </w:rPr>
        <w:t>三、服务要求：</w:t>
      </w:r>
    </w:p>
    <w:p w14:paraId="2A40E97A">
      <w:pPr>
        <w:adjustRightInd w:val="0"/>
        <w:snapToGrid w:val="0"/>
        <w:spacing w:beforeLines="50" w:line="360" w:lineRule="auto"/>
        <w:ind w:left="420" w:leftChars="200"/>
        <w:rPr>
          <w:rFonts w:ascii="宋体" w:hAnsi="宋体" w:cs="宋体"/>
          <w:color w:val="auto"/>
          <w:sz w:val="22"/>
          <w:szCs w:val="21"/>
        </w:rPr>
      </w:pPr>
      <w:r>
        <w:rPr>
          <w:rFonts w:ascii="宋体" w:hAnsi="宋体" w:cs="宋体"/>
          <w:color w:val="auto"/>
          <w:sz w:val="22"/>
          <w:szCs w:val="21"/>
        </w:rPr>
        <w:t>服务内容：主要包括以下工作:</w:t>
      </w:r>
      <w:r>
        <w:rPr>
          <w:rFonts w:hint="eastAsia" w:ascii="宋体" w:hAnsi="宋体" w:cs="宋体"/>
          <w:color w:val="auto"/>
          <w:sz w:val="22"/>
          <w:szCs w:val="21"/>
        </w:rPr>
        <w:br w:type="textWrapping"/>
      </w:r>
      <w:r>
        <w:rPr>
          <w:rFonts w:ascii="宋体" w:hAnsi="宋体" w:cs="宋体"/>
          <w:color w:val="auto"/>
          <w:sz w:val="22"/>
          <w:szCs w:val="21"/>
        </w:rPr>
        <w:t>1、审核结算编制依据的有效性和适用性；</w:t>
      </w:r>
      <w:r>
        <w:rPr>
          <w:rFonts w:hint="eastAsia" w:ascii="宋体" w:hAnsi="宋体" w:cs="宋体"/>
          <w:color w:val="auto"/>
          <w:sz w:val="22"/>
          <w:szCs w:val="21"/>
        </w:rPr>
        <w:br w:type="textWrapping"/>
      </w:r>
      <w:r>
        <w:rPr>
          <w:rFonts w:ascii="宋体" w:hAnsi="宋体" w:cs="宋体"/>
          <w:color w:val="auto"/>
          <w:sz w:val="22"/>
          <w:szCs w:val="21"/>
        </w:rPr>
        <w:t>2、审核工程结算依据的完备性；</w:t>
      </w:r>
      <w:r>
        <w:rPr>
          <w:rFonts w:hint="eastAsia" w:ascii="宋体" w:hAnsi="宋体" w:cs="宋体"/>
          <w:color w:val="auto"/>
          <w:sz w:val="22"/>
          <w:szCs w:val="21"/>
        </w:rPr>
        <w:br w:type="textWrapping"/>
      </w:r>
      <w:r>
        <w:rPr>
          <w:rFonts w:ascii="宋体" w:hAnsi="宋体" w:cs="宋体"/>
          <w:color w:val="auto"/>
          <w:sz w:val="22"/>
          <w:szCs w:val="21"/>
        </w:rPr>
        <w:t>3、分析施工合同，审核结算方法的适用性；</w:t>
      </w:r>
      <w:r>
        <w:rPr>
          <w:rFonts w:hint="eastAsia" w:ascii="宋体" w:hAnsi="宋体" w:cs="宋体"/>
          <w:color w:val="auto"/>
          <w:sz w:val="22"/>
          <w:szCs w:val="21"/>
        </w:rPr>
        <w:br w:type="textWrapping"/>
      </w:r>
      <w:r>
        <w:rPr>
          <w:rFonts w:ascii="宋体" w:hAnsi="宋体" w:cs="宋体"/>
          <w:color w:val="auto"/>
          <w:sz w:val="22"/>
          <w:szCs w:val="21"/>
        </w:rPr>
        <w:t>4、对照竣工图，审核工程量清单项目完整性；</w:t>
      </w:r>
      <w:r>
        <w:rPr>
          <w:rFonts w:hint="eastAsia" w:ascii="宋体" w:hAnsi="宋体" w:cs="宋体"/>
          <w:color w:val="auto"/>
          <w:sz w:val="22"/>
          <w:szCs w:val="21"/>
        </w:rPr>
        <w:br w:type="textWrapping"/>
      </w:r>
      <w:r>
        <w:rPr>
          <w:rFonts w:ascii="宋体" w:hAnsi="宋体" w:cs="宋体"/>
          <w:color w:val="auto"/>
          <w:sz w:val="22"/>
          <w:szCs w:val="21"/>
        </w:rPr>
        <w:t>5、进行工程计量，审核工程量的准确性；</w:t>
      </w:r>
      <w:r>
        <w:rPr>
          <w:rFonts w:hint="eastAsia" w:ascii="宋体" w:hAnsi="宋体" w:cs="宋体"/>
          <w:color w:val="auto"/>
          <w:sz w:val="22"/>
          <w:szCs w:val="21"/>
        </w:rPr>
        <w:br w:type="textWrapping"/>
      </w:r>
      <w:r>
        <w:rPr>
          <w:rFonts w:ascii="宋体" w:hAnsi="宋体" w:cs="宋体"/>
          <w:color w:val="auto"/>
          <w:sz w:val="22"/>
          <w:szCs w:val="21"/>
        </w:rPr>
        <w:t>6、进行工程计价，审核工程计价的合理性；</w:t>
      </w:r>
      <w:r>
        <w:rPr>
          <w:rFonts w:hint="eastAsia" w:ascii="宋体" w:hAnsi="宋体" w:cs="宋体"/>
          <w:color w:val="auto"/>
          <w:sz w:val="22"/>
          <w:szCs w:val="21"/>
        </w:rPr>
        <w:br w:type="textWrapping"/>
      </w:r>
      <w:r>
        <w:rPr>
          <w:rFonts w:ascii="宋体" w:hAnsi="宋体" w:cs="宋体"/>
          <w:color w:val="auto"/>
          <w:sz w:val="22"/>
          <w:szCs w:val="21"/>
        </w:rPr>
        <w:t>7、审核新增项目综合单价分析的合理性；</w:t>
      </w:r>
      <w:r>
        <w:rPr>
          <w:rFonts w:hint="eastAsia" w:ascii="宋体" w:hAnsi="宋体" w:cs="宋体"/>
          <w:color w:val="auto"/>
          <w:sz w:val="22"/>
          <w:szCs w:val="21"/>
        </w:rPr>
        <w:br w:type="textWrapping"/>
      </w:r>
      <w:r>
        <w:rPr>
          <w:rFonts w:ascii="宋体" w:hAnsi="宋体" w:cs="宋体"/>
          <w:color w:val="auto"/>
          <w:sz w:val="22"/>
          <w:szCs w:val="21"/>
        </w:rPr>
        <w:t>8、审核签证、索赔、变更等造价的合理性；</w:t>
      </w:r>
      <w:r>
        <w:rPr>
          <w:rFonts w:hint="eastAsia" w:ascii="宋体" w:hAnsi="宋体" w:cs="宋体"/>
          <w:color w:val="auto"/>
          <w:sz w:val="22"/>
          <w:szCs w:val="21"/>
        </w:rPr>
        <w:br w:type="textWrapping"/>
      </w:r>
      <w:r>
        <w:rPr>
          <w:rFonts w:ascii="宋体" w:hAnsi="宋体" w:cs="宋体"/>
          <w:color w:val="auto"/>
          <w:sz w:val="22"/>
          <w:szCs w:val="21"/>
        </w:rPr>
        <w:t>9、审核发现的异议，与编制单位进行技术核对，确定正确数据并调整核对后工程量及造价；</w:t>
      </w:r>
      <w:r>
        <w:rPr>
          <w:rFonts w:hint="eastAsia" w:ascii="宋体" w:hAnsi="宋体" w:cs="宋体"/>
          <w:color w:val="auto"/>
          <w:sz w:val="22"/>
          <w:szCs w:val="21"/>
        </w:rPr>
        <w:br w:type="textWrapping"/>
      </w:r>
      <w:r>
        <w:rPr>
          <w:rFonts w:ascii="宋体" w:hAnsi="宋体" w:cs="宋体"/>
          <w:color w:val="auto"/>
          <w:sz w:val="22"/>
          <w:szCs w:val="21"/>
        </w:rPr>
        <w:t>10、审查及分析主要工程经济指标；</w:t>
      </w:r>
      <w:r>
        <w:rPr>
          <w:rFonts w:hint="eastAsia" w:ascii="宋体" w:hAnsi="宋体" w:cs="宋体"/>
          <w:color w:val="auto"/>
          <w:sz w:val="22"/>
          <w:szCs w:val="21"/>
        </w:rPr>
        <w:br w:type="textWrapping"/>
      </w:r>
      <w:r>
        <w:rPr>
          <w:rFonts w:ascii="宋体" w:hAnsi="宋体" w:cs="宋体"/>
          <w:color w:val="auto"/>
          <w:sz w:val="22"/>
          <w:szCs w:val="21"/>
        </w:rPr>
        <w:t>11、出具审核报告书；</w:t>
      </w:r>
      <w:r>
        <w:rPr>
          <w:rFonts w:hint="eastAsia" w:ascii="宋体" w:hAnsi="宋体" w:cs="宋体"/>
          <w:color w:val="auto"/>
          <w:sz w:val="22"/>
          <w:szCs w:val="21"/>
        </w:rPr>
        <w:br w:type="textWrapping"/>
      </w:r>
      <w:r>
        <w:rPr>
          <w:rFonts w:ascii="宋体" w:hAnsi="宋体" w:cs="宋体"/>
          <w:color w:val="auto"/>
          <w:sz w:val="22"/>
          <w:szCs w:val="21"/>
        </w:rPr>
        <w:t>12、业主要求的其他事项，包括阶段结算审核等。</w:t>
      </w:r>
      <w:r>
        <w:rPr>
          <w:rFonts w:hint="eastAsia" w:ascii="宋体" w:hAnsi="宋体" w:cs="宋体"/>
          <w:color w:val="auto"/>
          <w:sz w:val="22"/>
          <w:szCs w:val="21"/>
        </w:rPr>
        <w:br w:type="textWrapping"/>
      </w:r>
      <w:r>
        <w:rPr>
          <w:rFonts w:ascii="宋体" w:hAnsi="宋体" w:cs="宋体"/>
          <w:b/>
          <w:bCs/>
          <w:color w:val="auto"/>
          <w:sz w:val="22"/>
          <w:szCs w:val="21"/>
        </w:rPr>
        <w:t>四、服务成果</w:t>
      </w:r>
      <w:r>
        <w:rPr>
          <w:rFonts w:hint="eastAsia" w:ascii="宋体" w:hAnsi="宋体" w:cs="宋体"/>
          <w:b/>
          <w:bCs/>
          <w:color w:val="auto"/>
          <w:sz w:val="22"/>
          <w:szCs w:val="21"/>
        </w:rPr>
        <w:t>：</w:t>
      </w:r>
    </w:p>
    <w:p w14:paraId="6D1E3F0D">
      <w:pPr>
        <w:adjustRightInd w:val="0"/>
        <w:snapToGrid w:val="0"/>
        <w:spacing w:beforeLines="50" w:line="360" w:lineRule="auto"/>
        <w:ind w:left="420" w:leftChars="200" w:firstLine="440" w:firstLineChars="200"/>
        <w:rPr>
          <w:rFonts w:ascii="宋体" w:hAnsi="宋体" w:cs="宋体"/>
          <w:color w:val="auto"/>
          <w:sz w:val="22"/>
          <w:szCs w:val="21"/>
        </w:rPr>
      </w:pPr>
      <w:r>
        <w:rPr>
          <w:rFonts w:ascii="宋体" w:hAnsi="宋体" w:cs="宋体"/>
          <w:color w:val="auto"/>
          <w:sz w:val="22"/>
          <w:szCs w:val="21"/>
        </w:rPr>
        <w:t>中标单位完成相应阶段成果并提交</w:t>
      </w:r>
      <w:r>
        <w:rPr>
          <w:rFonts w:hint="eastAsia" w:ascii="宋体" w:hAnsi="宋体" w:cs="宋体"/>
          <w:color w:val="auto"/>
          <w:sz w:val="22"/>
          <w:szCs w:val="21"/>
        </w:rPr>
        <w:t>采购</w:t>
      </w:r>
      <w:r>
        <w:rPr>
          <w:rFonts w:ascii="宋体" w:hAnsi="宋体" w:cs="宋体"/>
          <w:color w:val="auto"/>
          <w:sz w:val="22"/>
          <w:szCs w:val="21"/>
        </w:rPr>
        <w:t>人相关工作成果后，</w:t>
      </w:r>
      <w:r>
        <w:rPr>
          <w:rFonts w:hint="eastAsia" w:ascii="宋体" w:hAnsi="宋体" w:cs="宋体"/>
          <w:color w:val="auto"/>
          <w:sz w:val="22"/>
          <w:szCs w:val="21"/>
        </w:rPr>
        <w:t>采购</w:t>
      </w:r>
      <w:r>
        <w:rPr>
          <w:rFonts w:ascii="宋体" w:hAnsi="宋体" w:cs="宋体"/>
          <w:color w:val="auto"/>
          <w:sz w:val="22"/>
          <w:szCs w:val="21"/>
        </w:rPr>
        <w:t>人予以确认；若</w:t>
      </w:r>
      <w:r>
        <w:rPr>
          <w:rFonts w:hint="eastAsia" w:ascii="宋体" w:hAnsi="宋体" w:cs="宋体"/>
          <w:color w:val="auto"/>
          <w:sz w:val="22"/>
          <w:szCs w:val="21"/>
        </w:rPr>
        <w:t>采购</w:t>
      </w:r>
      <w:r>
        <w:rPr>
          <w:rFonts w:ascii="宋体" w:hAnsi="宋体" w:cs="宋体"/>
          <w:color w:val="auto"/>
          <w:sz w:val="22"/>
          <w:szCs w:val="21"/>
        </w:rPr>
        <w:t>人对中标单位提交的阶段性工作成果有意见或建议的，应进行反馈及修改。</w:t>
      </w:r>
      <w:r>
        <w:rPr>
          <w:rFonts w:hint="eastAsia" w:ascii="宋体" w:hAnsi="宋体" w:cs="宋体"/>
          <w:color w:val="auto"/>
          <w:sz w:val="22"/>
          <w:szCs w:val="21"/>
        </w:rPr>
        <w:br w:type="textWrapping"/>
      </w:r>
      <w:r>
        <w:rPr>
          <w:rFonts w:ascii="宋体" w:hAnsi="宋体" w:cs="宋体"/>
          <w:color w:val="auto"/>
          <w:sz w:val="22"/>
          <w:szCs w:val="21"/>
        </w:rPr>
        <w:t>（1）中标单位必须保证所形成的成果报告不受到第三方关于侵犯专利权、商标权或工业设计权的指控。如果任何第三方提出侵权指控，中标人须与第三方交涉，并承担由此而产生的索赔、损失、损害、支出等一切费用（含律师费）。如招标人因此而遭致损失的，中标人应赔偿该损失。</w:t>
      </w:r>
    </w:p>
    <w:p w14:paraId="54ABFF73">
      <w:pPr>
        <w:tabs>
          <w:tab w:val="left" w:pos="540"/>
        </w:tabs>
        <w:spacing w:afterLines="50" w:line="420" w:lineRule="exact"/>
        <w:ind w:firstLine="440" w:firstLineChars="200"/>
        <w:rPr>
          <w:rFonts w:ascii="宋体" w:hAnsi="宋体" w:cs="宋体"/>
          <w:color w:val="auto"/>
          <w:szCs w:val="21"/>
        </w:rPr>
      </w:pPr>
      <w:r>
        <w:rPr>
          <w:rFonts w:ascii="宋体" w:hAnsi="宋体" w:cs="宋体"/>
          <w:color w:val="auto"/>
          <w:sz w:val="22"/>
          <w:szCs w:val="21"/>
        </w:rPr>
        <w:t>本次成果所有权和使用权均属于</w:t>
      </w:r>
      <w:r>
        <w:rPr>
          <w:rFonts w:hint="eastAsia" w:ascii="宋体" w:hAnsi="宋体" w:cs="宋体"/>
          <w:color w:val="auto"/>
          <w:sz w:val="22"/>
          <w:szCs w:val="21"/>
        </w:rPr>
        <w:t>采购</w:t>
      </w:r>
      <w:r>
        <w:rPr>
          <w:rFonts w:ascii="宋体" w:hAnsi="宋体" w:cs="宋体"/>
          <w:color w:val="auto"/>
          <w:sz w:val="22"/>
          <w:szCs w:val="21"/>
        </w:rPr>
        <w:t>人所有。未经招标人书面同意，任何单位和个人不得转让和使用本项目的成果。</w:t>
      </w:r>
      <w:r>
        <w:rPr>
          <w:rFonts w:hint="eastAsia" w:ascii="宋体" w:hAnsi="宋体" w:cs="宋体"/>
          <w:color w:val="auto"/>
          <w:sz w:val="22"/>
          <w:szCs w:val="21"/>
        </w:rPr>
        <w:br w:type="textWrapping"/>
      </w:r>
      <w:r>
        <w:rPr>
          <w:rFonts w:ascii="宋体" w:hAnsi="宋体" w:cs="宋体"/>
          <w:color w:val="auto"/>
          <w:sz w:val="22"/>
          <w:szCs w:val="21"/>
        </w:rPr>
        <w:t>（3）中标人若在项目实施过程中采用自有知识成果，需在报价文件中声明，并提供相关知识产权证明文件，使用该知识成果后，中标人需承诺提供无限期技术支持，招标人享有永久使用权。如采用中标人所不拥有的知识产权，则在报价中必须包括合法获取该知识产权的相关费用。</w:t>
      </w:r>
      <w:r>
        <w:rPr>
          <w:rFonts w:hint="eastAsia" w:ascii="宋体" w:hAnsi="宋体" w:cs="宋体"/>
          <w:color w:val="auto"/>
          <w:sz w:val="22"/>
          <w:szCs w:val="21"/>
        </w:rPr>
        <w:br w:type="textWrapping"/>
      </w:r>
      <w:r>
        <w:rPr>
          <w:rFonts w:ascii="宋体" w:hAnsi="宋体" w:cs="宋体"/>
          <w:b/>
          <w:bCs/>
          <w:color w:val="auto"/>
          <w:sz w:val="22"/>
          <w:szCs w:val="21"/>
        </w:rPr>
        <w:t>五、其他说明及要求</w:t>
      </w:r>
      <w:r>
        <w:rPr>
          <w:rFonts w:hint="eastAsia" w:ascii="宋体" w:hAnsi="宋体" w:cs="宋体"/>
          <w:color w:val="auto"/>
          <w:sz w:val="22"/>
          <w:szCs w:val="21"/>
        </w:rPr>
        <w:br w:type="textWrapping"/>
      </w:r>
      <w:r>
        <w:rPr>
          <w:rFonts w:ascii="宋体" w:hAnsi="宋体" w:cs="宋体"/>
          <w:color w:val="auto"/>
          <w:sz w:val="22"/>
          <w:szCs w:val="21"/>
        </w:rPr>
        <w:t>1、服务期限：</w:t>
      </w:r>
      <w:r>
        <w:rPr>
          <w:rFonts w:hint="eastAsia" w:ascii="宋体" w:hAnsi="宋体" w:cs="宋体"/>
          <w:color w:val="auto"/>
          <w:sz w:val="22"/>
          <w:szCs w:val="21"/>
        </w:rPr>
        <w:t>自采购人书面移交结算资料起120日历天（起算日后70天内，提供审核初步成果，提交初步成果35天内完成与施工单位的对审，对审完成15天内，出具正式结论；非采购人原因导致的服务时间增加，服务期限顺延，咨询服务费不变）。供应商在复审期间需提供咨询服务，相关咨询费用已包含在合同总价中。</w:t>
      </w:r>
      <w:r>
        <w:rPr>
          <w:rFonts w:hint="eastAsia" w:ascii="宋体" w:hAnsi="宋体" w:cs="宋体"/>
          <w:color w:val="auto"/>
          <w:sz w:val="22"/>
          <w:szCs w:val="21"/>
        </w:rPr>
        <w:br w:type="textWrapping"/>
      </w:r>
      <w:r>
        <w:rPr>
          <w:rFonts w:ascii="宋体" w:hAnsi="宋体" w:cs="宋体"/>
          <w:color w:val="auto"/>
          <w:sz w:val="22"/>
          <w:szCs w:val="21"/>
        </w:rPr>
        <w:t>2、质量要求:符合中国建设工程造价管理协会发布的《建设工程造价咨询成果文件质量标准》。</w:t>
      </w:r>
      <w:r>
        <w:rPr>
          <w:rFonts w:hint="eastAsia" w:ascii="宋体" w:hAnsi="宋体" w:cs="宋体"/>
          <w:color w:val="auto"/>
          <w:sz w:val="22"/>
          <w:szCs w:val="21"/>
        </w:rPr>
        <w:br w:type="textWrapping"/>
      </w:r>
      <w:r>
        <w:rPr>
          <w:rFonts w:ascii="宋体" w:hAnsi="宋体" w:cs="宋体"/>
          <w:color w:val="auto"/>
          <w:sz w:val="22"/>
          <w:szCs w:val="21"/>
        </w:rPr>
        <w:t>3、服务期间，项目团队确保及时解决服务需求，项目成果应通过相关</w:t>
      </w:r>
      <w:r>
        <w:rPr>
          <w:rFonts w:hint="eastAsia" w:ascii="宋体" w:hAnsi="宋体" w:cs="宋体"/>
          <w:color w:val="auto"/>
          <w:sz w:val="22"/>
          <w:szCs w:val="21"/>
        </w:rPr>
        <w:t>复审（如果政策发生变化，根据项目所在地审计或评审政策、业主单位制度及要求执行），相关部门审核期间负责进行沟通和解释。</w:t>
      </w:r>
      <w:r>
        <w:rPr>
          <w:rFonts w:hint="eastAsia" w:ascii="宋体" w:hAnsi="宋体" w:cs="宋体"/>
          <w:color w:val="auto"/>
          <w:sz w:val="22"/>
          <w:szCs w:val="21"/>
        </w:rPr>
        <w:br w:type="textWrapping"/>
      </w:r>
      <w:r>
        <w:rPr>
          <w:rFonts w:ascii="宋体" w:hAnsi="宋体" w:cs="宋体"/>
          <w:color w:val="auto"/>
          <w:sz w:val="22"/>
          <w:szCs w:val="21"/>
        </w:rPr>
        <w:t>4、服务地点：</w:t>
      </w:r>
      <w:r>
        <w:rPr>
          <w:rFonts w:hint="eastAsia" w:ascii="宋体" w:hAnsi="宋体"/>
          <w:color w:val="auto"/>
          <w:szCs w:val="21"/>
          <w:u w:val="single"/>
        </w:rPr>
        <w:t>娄底市娄星城区</w:t>
      </w:r>
      <w:r>
        <w:rPr>
          <w:rFonts w:ascii="宋体" w:hAnsi="宋体" w:cs="宋体"/>
          <w:color w:val="auto"/>
          <w:sz w:val="22"/>
          <w:szCs w:val="21"/>
        </w:rPr>
        <w:t>。</w:t>
      </w:r>
      <w:r>
        <w:rPr>
          <w:rFonts w:hint="eastAsia" w:ascii="宋体" w:hAnsi="宋体" w:cs="宋体"/>
          <w:color w:val="auto"/>
          <w:sz w:val="22"/>
          <w:szCs w:val="21"/>
        </w:rPr>
        <w:br w:type="textWrapping"/>
      </w:r>
      <w:r>
        <w:rPr>
          <w:rFonts w:hint="eastAsia" w:ascii="宋体" w:hAnsi="宋体" w:cs="宋体"/>
          <w:color w:val="auto"/>
          <w:sz w:val="22"/>
          <w:szCs w:val="21"/>
        </w:rPr>
        <w:t>5、结算方式：</w:t>
      </w:r>
      <w:r>
        <w:rPr>
          <w:rFonts w:hint="eastAsia" w:ascii="宋体" w:hAnsi="宋体" w:cs="宋体"/>
          <w:color w:val="auto"/>
          <w:sz w:val="22"/>
          <w:szCs w:val="21"/>
        </w:rPr>
        <w:br w:type="textWrapping"/>
      </w:r>
      <w:r>
        <w:rPr>
          <w:rFonts w:hint="eastAsia" w:ascii="宋体" w:hAnsi="宋体" w:cs="宋体"/>
          <w:color w:val="auto"/>
          <w:sz w:val="22"/>
          <w:szCs w:val="21"/>
        </w:rPr>
        <w:t xml:space="preserve">  </w:t>
      </w:r>
      <w:r>
        <w:rPr>
          <w:rFonts w:ascii="宋体" w:hAnsi="宋体" w:cs="宋体"/>
          <w:color w:val="auto"/>
          <w:sz w:val="22"/>
          <w:szCs w:val="21"/>
        </w:rPr>
        <w:t>付款人：</w:t>
      </w:r>
      <w:r>
        <w:rPr>
          <w:rFonts w:hint="eastAsia" w:ascii="宋体" w:hAnsi="宋体" w:cs="宋体"/>
          <w:color w:val="auto"/>
          <w:sz w:val="22"/>
          <w:szCs w:val="21"/>
        </w:rPr>
        <w:t>娄底市万宝新区开发投资集团有限公司</w:t>
      </w:r>
      <w:r>
        <w:rPr>
          <w:rFonts w:hint="eastAsia" w:ascii="宋体" w:hAnsi="宋体" w:cs="宋体"/>
          <w:color w:val="auto"/>
          <w:sz w:val="22"/>
          <w:szCs w:val="21"/>
        </w:rPr>
        <w:br w:type="textWrapping"/>
      </w:r>
      <w:r>
        <w:rPr>
          <w:rFonts w:hint="eastAsia" w:ascii="宋体" w:hAnsi="宋体" w:cs="宋体"/>
          <w:color w:val="auto"/>
          <w:sz w:val="22"/>
          <w:szCs w:val="21"/>
        </w:rPr>
        <w:t xml:space="preserve">  </w:t>
      </w:r>
      <w:r>
        <w:rPr>
          <w:rFonts w:ascii="宋体" w:hAnsi="宋体" w:cs="宋体"/>
          <w:color w:val="auto"/>
          <w:sz w:val="22"/>
          <w:szCs w:val="21"/>
        </w:rPr>
        <w:t>付款方式：</w:t>
      </w:r>
      <w:r>
        <w:rPr>
          <w:rFonts w:hint="eastAsia" w:ascii="宋体" w:hAnsi="宋体" w:cs="宋体"/>
          <w:color w:val="auto"/>
          <w:sz w:val="22"/>
          <w:szCs w:val="21"/>
        </w:rPr>
        <w:br w:type="textWrapping"/>
      </w:r>
      <w:r>
        <w:rPr>
          <w:rFonts w:hint="eastAsia" w:ascii="宋体" w:hAnsi="宋体" w:cs="宋体"/>
          <w:color w:val="auto"/>
          <w:sz w:val="22"/>
          <w:szCs w:val="21"/>
        </w:rPr>
        <w:t xml:space="preserve">  </w:t>
      </w:r>
      <w:bookmarkStart w:id="70" w:name="OLE_LINK1"/>
      <w:r>
        <w:rPr>
          <w:rFonts w:hint="eastAsia" w:ascii="宋体" w:hAnsi="宋体" w:cs="宋体"/>
          <w:color w:val="auto"/>
          <w:sz w:val="22"/>
          <w:szCs w:val="21"/>
        </w:rPr>
        <w:t xml:space="preserve">  </w:t>
      </w:r>
      <w:r>
        <w:rPr>
          <w:rFonts w:hint="eastAsia" w:ascii="宋体" w:hAnsi="宋体" w:cs="宋体"/>
          <w:bCs/>
          <w:color w:val="auto"/>
          <w:szCs w:val="21"/>
        </w:rPr>
        <w:t>5</w:t>
      </w:r>
      <w:r>
        <w:rPr>
          <w:rFonts w:hint="eastAsia" w:ascii="宋体" w:hAnsi="宋体" w:cs="宋体"/>
          <w:color w:val="auto"/>
          <w:szCs w:val="21"/>
        </w:rPr>
        <w:t>.1预付款金额：</w:t>
      </w:r>
      <w:r>
        <w:rPr>
          <w:rFonts w:hint="eastAsia" w:ascii="宋体" w:hAnsi="宋体" w:cs="宋体"/>
          <w:color w:val="auto"/>
          <w:szCs w:val="21"/>
          <w:u w:val="single"/>
          <w:lang w:val="en-US" w:eastAsia="zh-CN"/>
        </w:rPr>
        <w:t xml:space="preserve">   /  </w:t>
      </w:r>
      <w:r>
        <w:rPr>
          <w:rFonts w:hint="eastAsia" w:ascii="宋体" w:hAnsi="宋体" w:cs="宋体"/>
          <w:bCs/>
          <w:color w:val="auto"/>
          <w:szCs w:val="21"/>
        </w:rPr>
        <w:t>。</w:t>
      </w:r>
    </w:p>
    <w:p w14:paraId="7E9D981F">
      <w:pPr>
        <w:ind w:firstLine="420" w:firstLineChars="200"/>
        <w:rPr>
          <w:rFonts w:ascii="宋体" w:hAnsi="宋体" w:cs="宋体"/>
          <w:bCs/>
          <w:color w:val="auto"/>
          <w:szCs w:val="21"/>
        </w:rPr>
      </w:pPr>
      <w:r>
        <w:rPr>
          <w:rFonts w:hint="eastAsia" w:ascii="宋体" w:hAnsi="宋体" w:cs="宋体"/>
          <w:bCs/>
          <w:color w:val="auto"/>
          <w:szCs w:val="21"/>
        </w:rPr>
        <w:t>5</w:t>
      </w:r>
      <w:r>
        <w:rPr>
          <w:rFonts w:hint="eastAsia" w:ascii="宋体" w:hAnsi="宋体" w:cs="宋体"/>
          <w:color w:val="auto"/>
          <w:szCs w:val="21"/>
        </w:rPr>
        <w:t>.2预付款支付：</w:t>
      </w:r>
      <w:r>
        <w:rPr>
          <w:rFonts w:hint="eastAsia" w:ascii="宋体" w:hAnsi="宋体" w:cs="宋体"/>
          <w:color w:val="auto"/>
          <w:szCs w:val="21"/>
          <w:u w:val="single"/>
          <w:lang w:val="en-US" w:eastAsia="zh-CN"/>
        </w:rPr>
        <w:t xml:space="preserve">   /  </w:t>
      </w:r>
      <w:r>
        <w:rPr>
          <w:rFonts w:hint="eastAsia" w:ascii="宋体" w:hAnsi="宋体" w:cs="宋体"/>
          <w:bCs/>
          <w:color w:val="auto"/>
          <w:szCs w:val="21"/>
        </w:rPr>
        <w:t>。</w:t>
      </w:r>
    </w:p>
    <w:p w14:paraId="77773F14">
      <w:pPr>
        <w:pStyle w:val="29"/>
        <w:spacing w:before="0" w:beforeAutospacing="0" w:after="0" w:afterAutospacing="0" w:line="420" w:lineRule="exact"/>
        <w:ind w:firstLine="420" w:firstLineChars="200"/>
        <w:rPr>
          <w:rFonts w:ascii="宋体" w:hAnsi="宋体" w:cs="宋体"/>
          <w:color w:val="auto"/>
          <w:kern w:val="2"/>
          <w:sz w:val="21"/>
          <w:szCs w:val="21"/>
          <w:u w:val="single"/>
        </w:rPr>
      </w:pPr>
      <w:r>
        <w:rPr>
          <w:rFonts w:hint="eastAsia" w:ascii="宋体" w:hAnsi="宋体" w:cs="宋体"/>
          <w:bCs/>
          <w:color w:val="auto"/>
          <w:sz w:val="21"/>
          <w:szCs w:val="21"/>
        </w:rPr>
        <w:t>5</w:t>
      </w:r>
      <w:r>
        <w:rPr>
          <w:rFonts w:hint="eastAsia" w:ascii="宋体" w:hAnsi="宋体" w:cs="宋体"/>
          <w:color w:val="auto"/>
          <w:sz w:val="21"/>
          <w:szCs w:val="21"/>
        </w:rPr>
        <w:t>.</w:t>
      </w:r>
      <w:r>
        <w:rPr>
          <w:rFonts w:hint="eastAsia" w:ascii="宋体" w:hAnsi="宋体" w:cs="宋体"/>
          <w:bCs/>
          <w:color w:val="auto"/>
          <w:kern w:val="2"/>
          <w:sz w:val="21"/>
          <w:szCs w:val="21"/>
        </w:rPr>
        <w:t>3进度款支付方式：提交初步审核成果文件后10日内支付至合同金额的</w:t>
      </w:r>
      <w:r>
        <w:rPr>
          <w:rFonts w:hint="eastAsia" w:ascii="宋体" w:hAnsi="宋体" w:cs="宋体"/>
          <w:bCs/>
          <w:color w:val="auto"/>
          <w:sz w:val="21"/>
          <w:szCs w:val="21"/>
        </w:rPr>
        <w:t>50%，完成与施工单位对审出具审核报告后10日内支付至合同金额的60%，复审完成并出具正式结论支付剩余咨询费用。供应商在</w:t>
      </w:r>
      <w:r>
        <w:rPr>
          <w:rFonts w:hint="eastAsia" w:ascii="宋体" w:hAnsi="宋体" w:cs="宋体"/>
          <w:bCs/>
          <w:color w:val="auto"/>
          <w:kern w:val="2"/>
          <w:sz w:val="21"/>
          <w:szCs w:val="21"/>
        </w:rPr>
        <w:t>复审期间需提供咨询服务。</w:t>
      </w:r>
    </w:p>
    <w:p w14:paraId="72B47972">
      <w:pPr>
        <w:pStyle w:val="2"/>
        <w:rPr>
          <w:rFonts w:ascii="宋体" w:hAnsi="宋体" w:cs="宋体"/>
          <w:bCs/>
          <w:color w:val="auto"/>
          <w:sz w:val="21"/>
        </w:rPr>
      </w:pPr>
      <w:r>
        <w:rPr>
          <w:rFonts w:hint="eastAsia" w:ascii="宋体" w:hAnsi="宋体" w:cs="宋体"/>
          <w:bCs/>
          <w:color w:val="auto"/>
          <w:sz w:val="21"/>
        </w:rPr>
        <w:t>5.4结算支付</w:t>
      </w:r>
    </w:p>
    <w:p w14:paraId="3BAA9882">
      <w:pPr>
        <w:pStyle w:val="2"/>
        <w:rPr>
          <w:color w:val="auto"/>
        </w:rPr>
      </w:pPr>
      <w:r>
        <w:rPr>
          <w:rFonts w:hint="eastAsia" w:ascii="宋体" w:hAnsi="宋体" w:cs="宋体"/>
          <w:color w:val="auto"/>
          <w:sz w:val="21"/>
        </w:rPr>
        <w:t>（1）合同价格形式：</w:t>
      </w:r>
      <w:r>
        <w:rPr>
          <w:rFonts w:hint="eastAsia" w:ascii="宋体" w:hAnsi="宋体" w:cs="宋体"/>
          <w:color w:val="auto"/>
          <w:sz w:val="21"/>
          <w:u w:val="single"/>
        </w:rPr>
        <w:t>总价合同。</w:t>
      </w:r>
    </w:p>
    <w:p w14:paraId="346489E3">
      <w:pPr>
        <w:adjustRightInd w:val="0"/>
        <w:snapToGrid w:val="0"/>
        <w:spacing w:line="420" w:lineRule="exact"/>
        <w:ind w:firstLine="420" w:firstLineChars="200"/>
        <w:rPr>
          <w:rFonts w:ascii="宋体" w:hAnsi="宋体" w:cs="宋体"/>
          <w:color w:val="auto"/>
          <w:szCs w:val="21"/>
        </w:rPr>
      </w:pPr>
      <w:r>
        <w:rPr>
          <w:rFonts w:hint="eastAsia" w:ascii="宋体" w:hAnsi="宋体" w:cs="宋体"/>
          <w:color w:val="auto"/>
          <w:szCs w:val="21"/>
        </w:rPr>
        <w:t>（2）乙方出具的结算审核金额与复审金额误差率控制在±3%之内（含3%）的，按合同金额100%计算费用；误差率超过±3%的，每增加一个百分点扣20%合同费用（按内插法计算）；误差率超过±8%的结算合同金额全扣。审核依据不充分部分不纳入误差率的计算。</w:t>
      </w:r>
    </w:p>
    <w:p w14:paraId="459835B6">
      <w:pPr>
        <w:adjustRightInd w:val="0"/>
        <w:snapToGrid w:val="0"/>
        <w:spacing w:line="420" w:lineRule="exact"/>
        <w:ind w:firstLine="420" w:firstLineChars="200"/>
        <w:rPr>
          <w:rFonts w:ascii="宋体" w:hAnsi="宋体" w:cs="宋体"/>
          <w:color w:val="auto"/>
          <w:szCs w:val="21"/>
        </w:rPr>
      </w:pPr>
      <w:r>
        <w:rPr>
          <w:rFonts w:hint="eastAsia" w:ascii="宋体" w:hAnsi="宋体" w:cs="宋体"/>
          <w:color w:val="auto"/>
          <w:szCs w:val="21"/>
        </w:rPr>
        <w:t>（3）项目复审根据项目所在地审计（评审）政策、业主单位制度及要求执行。</w:t>
      </w:r>
    </w:p>
    <w:p w14:paraId="3B8B3124">
      <w:pPr>
        <w:adjustRightInd w:val="0"/>
        <w:snapToGrid w:val="0"/>
        <w:spacing w:beforeLines="50" w:line="360" w:lineRule="auto"/>
        <w:ind w:firstLine="440" w:firstLineChars="200"/>
        <w:rPr>
          <w:rFonts w:ascii="宋体" w:hAnsi="宋体" w:cs="宋体"/>
          <w:color w:val="auto"/>
          <w:sz w:val="22"/>
          <w:szCs w:val="21"/>
        </w:rPr>
      </w:pPr>
      <w:r>
        <w:rPr>
          <w:rFonts w:hint="eastAsia" w:ascii="宋体" w:hAnsi="宋体" w:cs="宋体"/>
          <w:color w:val="auto"/>
          <w:sz w:val="22"/>
          <w:szCs w:val="21"/>
        </w:rPr>
        <w:t>供应商</w:t>
      </w:r>
      <w:r>
        <w:rPr>
          <w:rFonts w:ascii="宋体" w:hAnsi="宋体" w:cs="宋体"/>
          <w:color w:val="auto"/>
          <w:sz w:val="22"/>
          <w:szCs w:val="21"/>
        </w:rPr>
        <w:t>应根据项目要求和现场情况，详细列明项目所需的设备及材料购置费用，以及项目所需的人工、管理、财务、保险、税费等所有费用，如一旦中标在项目实施中出现任何遗漏，均由中标人免费提供，采购人不再支付任何费用。</w:t>
      </w:r>
    </w:p>
    <w:bookmarkEnd w:id="70"/>
    <w:p w14:paraId="540CC097">
      <w:pPr>
        <w:numPr>
          <w:ilvl w:val="0"/>
          <w:numId w:val="5"/>
        </w:numPr>
        <w:adjustRightInd w:val="0"/>
        <w:snapToGrid w:val="0"/>
        <w:spacing w:beforeLines="50"/>
        <w:ind w:left="420" w:leftChars="200"/>
        <w:rPr>
          <w:rFonts w:ascii="宋体" w:hAnsi="宋体" w:cs="宋体"/>
          <w:b w:val="0"/>
          <w:bCs w:val="0"/>
          <w:color w:val="auto"/>
          <w:sz w:val="22"/>
          <w:szCs w:val="21"/>
        </w:rPr>
      </w:pPr>
      <w:r>
        <w:rPr>
          <w:rFonts w:hint="eastAsia" w:ascii="宋体" w:hAnsi="宋体" w:cs="宋体"/>
          <w:b w:val="0"/>
          <w:bCs w:val="0"/>
          <w:color w:val="auto"/>
          <w:sz w:val="22"/>
          <w:szCs w:val="21"/>
        </w:rPr>
        <w:t>采购人有权利对供应商提供的服务团队进行出勤考核，</w:t>
      </w:r>
      <w:r>
        <w:rPr>
          <w:rFonts w:ascii="宋体" w:hAnsi="宋体" w:cs="宋体"/>
          <w:b w:val="0"/>
          <w:bCs w:val="0"/>
          <w:color w:val="auto"/>
          <w:sz w:val="22"/>
          <w:szCs w:val="21"/>
        </w:rPr>
        <w:t>不得挂名参与投标。</w:t>
      </w:r>
    </w:p>
    <w:p w14:paraId="220EDD07">
      <w:pPr>
        <w:numPr>
          <w:ilvl w:val="0"/>
          <w:numId w:val="5"/>
        </w:numPr>
        <w:adjustRightInd w:val="0"/>
        <w:snapToGrid w:val="0"/>
        <w:spacing w:beforeLines="50"/>
        <w:ind w:left="420" w:leftChars="200"/>
        <w:rPr>
          <w:rFonts w:ascii="宋体" w:hAnsi="宋体" w:cs="宋体"/>
          <w:b w:val="0"/>
          <w:bCs w:val="0"/>
          <w:color w:val="auto"/>
          <w:sz w:val="22"/>
          <w:szCs w:val="21"/>
        </w:rPr>
      </w:pPr>
      <w:r>
        <w:rPr>
          <w:rFonts w:hint="eastAsia" w:ascii="宋体" w:hAnsi="宋体" w:cs="宋体"/>
          <w:b w:val="0"/>
          <w:bCs w:val="0"/>
          <w:color w:val="auto"/>
          <w:sz w:val="22"/>
          <w:szCs w:val="21"/>
        </w:rPr>
        <w:t>提交初步成果前，供应商提供的服务团队中的一级注册造价工程师执行出勤考核，每人每月出勤不少于20日。</w:t>
      </w:r>
    </w:p>
    <w:p w14:paraId="6C1EF287">
      <w:pPr>
        <w:numPr>
          <w:ilvl w:val="0"/>
          <w:numId w:val="5"/>
        </w:numPr>
        <w:adjustRightInd w:val="0"/>
        <w:snapToGrid w:val="0"/>
        <w:spacing w:beforeLines="50"/>
        <w:ind w:left="420" w:leftChars="200"/>
        <w:rPr>
          <w:rFonts w:ascii="宋体" w:hAnsi="宋体" w:cs="宋体"/>
          <w:bCs/>
          <w:color w:val="auto"/>
          <w:szCs w:val="21"/>
        </w:rPr>
      </w:pPr>
      <w:r>
        <w:rPr>
          <w:rFonts w:hint="eastAsia" w:ascii="宋体" w:hAnsi="宋体" w:cs="宋体"/>
          <w:bCs/>
          <w:color w:val="auto"/>
          <w:szCs w:val="21"/>
        </w:rPr>
        <w:t>供应商须配备满足本项目所需的办公电脑、造价软件等软、硬件工作资料。</w:t>
      </w:r>
      <w:r>
        <w:rPr>
          <w:rFonts w:hint="eastAsia" w:ascii="宋体" w:hAnsi="宋体" w:cs="宋体"/>
          <w:bCs/>
          <w:color w:val="auto"/>
          <w:szCs w:val="21"/>
          <w:lang w:val="en-US" w:eastAsia="zh-CN"/>
        </w:rPr>
        <w:t>元月</w:t>
      </w:r>
    </w:p>
    <w:p w14:paraId="7D34B85B">
      <w:pPr>
        <w:numPr>
          <w:ilvl w:val="0"/>
          <w:numId w:val="5"/>
        </w:numPr>
        <w:adjustRightInd w:val="0"/>
        <w:snapToGrid w:val="0"/>
        <w:spacing w:beforeLines="50"/>
        <w:ind w:left="420" w:leftChars="200"/>
        <w:rPr>
          <w:rFonts w:ascii="宋体" w:hAnsi="宋体" w:cs="宋体"/>
          <w:color w:val="auto"/>
          <w:sz w:val="22"/>
          <w:szCs w:val="21"/>
        </w:rPr>
      </w:pPr>
      <w:r>
        <w:rPr>
          <w:rFonts w:hint="eastAsia" w:ascii="宋体" w:hAnsi="宋体" w:cs="宋体"/>
          <w:color w:val="auto"/>
          <w:sz w:val="22"/>
          <w:szCs w:val="21"/>
        </w:rPr>
        <w:t>供应商</w:t>
      </w:r>
      <w:r>
        <w:rPr>
          <w:rFonts w:ascii="宋体" w:hAnsi="宋体" w:cs="宋体"/>
          <w:color w:val="auto"/>
          <w:sz w:val="22"/>
          <w:szCs w:val="21"/>
        </w:rPr>
        <w:t>在投标前，如需踏勘现场，有关费用自理，踏勘期间发生的意外自负。</w:t>
      </w:r>
      <w:r>
        <w:rPr>
          <w:rFonts w:hint="eastAsia" w:ascii="宋体" w:hAnsi="宋体" w:cs="宋体"/>
          <w:color w:val="auto"/>
          <w:sz w:val="22"/>
          <w:szCs w:val="21"/>
        </w:rPr>
        <w:br w:type="textWrapping"/>
      </w:r>
      <w:r>
        <w:rPr>
          <w:rFonts w:ascii="宋体" w:hAnsi="宋体" w:cs="宋体"/>
          <w:b/>
          <w:bCs/>
          <w:color w:val="auto"/>
          <w:sz w:val="22"/>
          <w:szCs w:val="21"/>
        </w:rPr>
        <w:t>六、咨询成果质量及服务承诺</w:t>
      </w:r>
      <w:r>
        <w:rPr>
          <w:rFonts w:hint="eastAsia" w:ascii="宋体" w:hAnsi="宋体" w:cs="宋体"/>
          <w:color w:val="auto"/>
          <w:sz w:val="22"/>
          <w:szCs w:val="21"/>
        </w:rPr>
        <w:br w:type="textWrapping"/>
      </w:r>
      <w:r>
        <w:rPr>
          <w:rFonts w:ascii="宋体" w:hAnsi="宋体" w:cs="宋体"/>
          <w:color w:val="auto"/>
          <w:sz w:val="22"/>
          <w:szCs w:val="21"/>
        </w:rPr>
        <w:t>检查和返工</w:t>
      </w:r>
      <w:r>
        <w:rPr>
          <w:rFonts w:hint="eastAsia" w:ascii="宋体" w:hAnsi="宋体" w:cs="宋体"/>
          <w:color w:val="auto"/>
          <w:sz w:val="22"/>
          <w:szCs w:val="21"/>
        </w:rPr>
        <w:br w:type="textWrapping"/>
      </w:r>
      <w:r>
        <w:rPr>
          <w:rFonts w:ascii="宋体" w:hAnsi="宋体" w:cs="宋体"/>
          <w:color w:val="auto"/>
          <w:sz w:val="22"/>
          <w:szCs w:val="21"/>
        </w:rPr>
        <w:t>1.</w:t>
      </w:r>
      <w:r>
        <w:rPr>
          <w:rFonts w:hint="eastAsia" w:ascii="宋体" w:hAnsi="宋体" w:cs="宋体"/>
          <w:color w:val="auto"/>
          <w:sz w:val="22"/>
          <w:szCs w:val="21"/>
        </w:rPr>
        <w:t>供应商</w:t>
      </w:r>
      <w:r>
        <w:rPr>
          <w:rFonts w:ascii="宋体" w:hAnsi="宋体" w:cs="宋体"/>
          <w:color w:val="auto"/>
          <w:sz w:val="22"/>
          <w:szCs w:val="21"/>
        </w:rPr>
        <w:t>应在公司内部采取互审、项目经理审核、公司经理审核三级审核或其它保证工作质量的措施。</w:t>
      </w:r>
      <w:r>
        <w:rPr>
          <w:rFonts w:hint="eastAsia" w:ascii="宋体" w:hAnsi="宋体" w:cs="宋体"/>
          <w:color w:val="auto"/>
          <w:sz w:val="22"/>
          <w:szCs w:val="21"/>
        </w:rPr>
        <w:br w:type="textWrapping"/>
      </w:r>
      <w:r>
        <w:rPr>
          <w:rFonts w:ascii="宋体" w:hAnsi="宋体" w:cs="宋体"/>
          <w:color w:val="auto"/>
          <w:sz w:val="22"/>
          <w:szCs w:val="21"/>
        </w:rPr>
        <w:t>2.</w:t>
      </w:r>
      <w:r>
        <w:rPr>
          <w:rFonts w:hint="eastAsia" w:ascii="宋体" w:hAnsi="宋体" w:cs="宋体"/>
          <w:color w:val="auto"/>
          <w:sz w:val="22"/>
          <w:szCs w:val="21"/>
        </w:rPr>
        <w:t>采购</w:t>
      </w:r>
      <w:r>
        <w:rPr>
          <w:rFonts w:ascii="宋体" w:hAnsi="宋体" w:cs="宋体"/>
          <w:color w:val="auto"/>
          <w:sz w:val="22"/>
          <w:szCs w:val="21"/>
        </w:rPr>
        <w:t>人复审发现工作质量达不到标准的部分，</w:t>
      </w:r>
      <w:r>
        <w:rPr>
          <w:rFonts w:hint="eastAsia" w:ascii="宋体" w:hAnsi="宋体" w:cs="宋体"/>
          <w:color w:val="auto"/>
          <w:sz w:val="22"/>
          <w:szCs w:val="21"/>
        </w:rPr>
        <w:t>供应商</w:t>
      </w:r>
      <w:r>
        <w:rPr>
          <w:rFonts w:ascii="宋体" w:hAnsi="宋体" w:cs="宋体"/>
          <w:color w:val="auto"/>
          <w:sz w:val="22"/>
          <w:szCs w:val="21"/>
        </w:rPr>
        <w:t>应按</w:t>
      </w:r>
      <w:r>
        <w:rPr>
          <w:rFonts w:hint="eastAsia" w:ascii="宋体" w:hAnsi="宋体" w:cs="宋体"/>
          <w:color w:val="auto"/>
          <w:sz w:val="22"/>
          <w:szCs w:val="21"/>
        </w:rPr>
        <w:t>采购</w:t>
      </w:r>
      <w:r>
        <w:rPr>
          <w:rFonts w:ascii="宋体" w:hAnsi="宋体" w:cs="宋体"/>
          <w:color w:val="auto"/>
          <w:sz w:val="22"/>
          <w:szCs w:val="21"/>
        </w:rPr>
        <w:t>人的要求重新进行计算，招标人不再支付相关费用。</w:t>
      </w:r>
      <w:r>
        <w:rPr>
          <w:rFonts w:hint="eastAsia" w:ascii="宋体" w:hAnsi="宋体" w:cs="宋体"/>
          <w:color w:val="auto"/>
          <w:sz w:val="22"/>
          <w:szCs w:val="21"/>
        </w:rPr>
        <w:br w:type="textWrapping"/>
      </w:r>
      <w:r>
        <w:rPr>
          <w:rFonts w:ascii="宋体" w:hAnsi="宋体" w:cs="宋体"/>
          <w:color w:val="auto"/>
          <w:sz w:val="22"/>
          <w:szCs w:val="21"/>
        </w:rPr>
        <w:t>3.每单委托对应一项咨询成果。提交给</w:t>
      </w:r>
      <w:r>
        <w:rPr>
          <w:rFonts w:hint="eastAsia" w:ascii="宋体" w:hAnsi="宋体" w:cs="宋体"/>
          <w:color w:val="auto"/>
          <w:sz w:val="22"/>
          <w:szCs w:val="21"/>
        </w:rPr>
        <w:t>采购</w:t>
      </w:r>
      <w:r>
        <w:rPr>
          <w:rFonts w:ascii="宋体" w:hAnsi="宋体" w:cs="宋体"/>
          <w:color w:val="auto"/>
          <w:sz w:val="22"/>
          <w:szCs w:val="21"/>
        </w:rPr>
        <w:t>人的每项咨询成果（成本对标指标可除外）都需咨询公司的项目负责人或更高层级进行复核，并有复核记录和加盖公章。咨询成果偏差值超出合同要求范围的，严格按合同条款执行。</w:t>
      </w:r>
      <w:r>
        <w:rPr>
          <w:rFonts w:hint="eastAsia" w:ascii="宋体" w:hAnsi="宋体" w:cs="宋体"/>
          <w:color w:val="auto"/>
          <w:sz w:val="22"/>
          <w:szCs w:val="21"/>
        </w:rPr>
        <w:br w:type="textWrapping"/>
      </w:r>
      <w:r>
        <w:rPr>
          <w:rFonts w:ascii="宋体" w:hAnsi="宋体" w:cs="宋体"/>
          <w:b/>
          <w:bCs/>
          <w:color w:val="auto"/>
          <w:sz w:val="22"/>
          <w:szCs w:val="21"/>
        </w:rPr>
        <w:t>七、违约责任</w:t>
      </w:r>
      <w:r>
        <w:rPr>
          <w:rFonts w:hint="eastAsia" w:ascii="宋体" w:hAnsi="宋体" w:cs="宋体"/>
          <w:color w:val="auto"/>
          <w:sz w:val="22"/>
          <w:szCs w:val="21"/>
        </w:rPr>
        <w:br w:type="textWrapping"/>
      </w:r>
      <w:r>
        <w:rPr>
          <w:rFonts w:ascii="宋体" w:hAnsi="宋体" w:cs="宋体"/>
          <w:color w:val="auto"/>
          <w:sz w:val="22"/>
          <w:szCs w:val="21"/>
        </w:rPr>
        <w:t>1、由于</w:t>
      </w:r>
      <w:r>
        <w:rPr>
          <w:rFonts w:hint="eastAsia" w:ascii="宋体" w:hAnsi="宋体" w:cs="宋体"/>
          <w:color w:val="auto"/>
          <w:sz w:val="22"/>
          <w:szCs w:val="21"/>
        </w:rPr>
        <w:t>供应商</w:t>
      </w:r>
      <w:r>
        <w:rPr>
          <w:rFonts w:ascii="宋体" w:hAnsi="宋体" w:cs="宋体"/>
          <w:color w:val="auto"/>
          <w:sz w:val="22"/>
          <w:szCs w:val="21"/>
        </w:rPr>
        <w:t>咨询成果</w:t>
      </w:r>
      <w:r>
        <w:rPr>
          <w:rFonts w:hint="eastAsia" w:ascii="宋体" w:hAnsi="宋体" w:cs="宋体"/>
          <w:color w:val="auto"/>
          <w:sz w:val="22"/>
          <w:szCs w:val="21"/>
        </w:rPr>
        <w:t>错误遗落</w:t>
      </w:r>
      <w:r>
        <w:rPr>
          <w:rFonts w:ascii="宋体" w:hAnsi="宋体" w:cs="宋体"/>
          <w:color w:val="auto"/>
          <w:sz w:val="22"/>
          <w:szCs w:val="21"/>
        </w:rPr>
        <w:t>等原因造成</w:t>
      </w:r>
      <w:r>
        <w:rPr>
          <w:rFonts w:hint="eastAsia" w:ascii="宋体" w:hAnsi="宋体" w:cs="宋体"/>
          <w:color w:val="auto"/>
          <w:sz w:val="22"/>
          <w:szCs w:val="21"/>
        </w:rPr>
        <w:t>采购</w:t>
      </w:r>
      <w:r>
        <w:rPr>
          <w:rFonts w:ascii="宋体" w:hAnsi="宋体" w:cs="宋体"/>
          <w:color w:val="auto"/>
          <w:sz w:val="22"/>
          <w:szCs w:val="21"/>
        </w:rPr>
        <w:t>人已发生经济损失和工期损失时，按照以下条款执行：</w:t>
      </w:r>
      <w:r>
        <w:rPr>
          <w:rFonts w:hint="eastAsia" w:ascii="宋体" w:hAnsi="宋体" w:cs="宋体"/>
          <w:color w:val="auto"/>
          <w:sz w:val="22"/>
          <w:szCs w:val="21"/>
        </w:rPr>
        <w:br w:type="textWrapping"/>
      </w:r>
      <w:r>
        <w:rPr>
          <w:rFonts w:ascii="宋体" w:hAnsi="宋体" w:cs="宋体"/>
          <w:color w:val="auto"/>
          <w:sz w:val="22"/>
          <w:szCs w:val="21"/>
        </w:rPr>
        <w:t>已发生经济损失由</w:t>
      </w:r>
      <w:r>
        <w:rPr>
          <w:rFonts w:hint="eastAsia" w:ascii="宋体" w:hAnsi="宋体" w:cs="宋体"/>
          <w:color w:val="auto"/>
          <w:sz w:val="22"/>
          <w:szCs w:val="21"/>
        </w:rPr>
        <w:t>供应商</w:t>
      </w:r>
      <w:r>
        <w:rPr>
          <w:rFonts w:ascii="宋体" w:hAnsi="宋体" w:cs="宋体"/>
          <w:color w:val="auto"/>
          <w:sz w:val="22"/>
          <w:szCs w:val="21"/>
        </w:rPr>
        <w:t>赔偿；赔偿金=直接经济损失 x10%（扣除税金）</w:t>
      </w:r>
      <w:r>
        <w:rPr>
          <w:rFonts w:hint="eastAsia" w:ascii="宋体" w:hAnsi="宋体" w:cs="宋体"/>
          <w:color w:val="auto"/>
          <w:sz w:val="22"/>
          <w:szCs w:val="21"/>
        </w:rPr>
        <w:br w:type="textWrapping"/>
      </w:r>
      <w:r>
        <w:rPr>
          <w:rFonts w:ascii="宋体" w:hAnsi="宋体" w:cs="宋体"/>
          <w:color w:val="auto"/>
          <w:sz w:val="22"/>
          <w:szCs w:val="21"/>
        </w:rPr>
        <w:t>2、由于</w:t>
      </w:r>
      <w:r>
        <w:rPr>
          <w:rFonts w:hint="eastAsia" w:ascii="宋体" w:hAnsi="宋体" w:cs="宋体"/>
          <w:color w:val="auto"/>
          <w:sz w:val="22"/>
          <w:szCs w:val="21"/>
        </w:rPr>
        <w:t>供应商</w:t>
      </w:r>
      <w:r>
        <w:rPr>
          <w:rFonts w:ascii="宋体" w:hAnsi="宋体" w:cs="宋体"/>
          <w:color w:val="auto"/>
          <w:sz w:val="22"/>
          <w:szCs w:val="21"/>
        </w:rPr>
        <w:t>原因未按照约定的时间完成委托业务，但没有造成</w:t>
      </w:r>
      <w:bookmarkStart w:id="71" w:name="OLE_LINK5"/>
      <w:bookmarkStart w:id="72" w:name="OLE_LINK6"/>
      <w:r>
        <w:rPr>
          <w:rFonts w:hint="eastAsia" w:ascii="宋体" w:hAnsi="宋体" w:cs="宋体"/>
          <w:color w:val="auto"/>
          <w:sz w:val="22"/>
          <w:szCs w:val="21"/>
        </w:rPr>
        <w:t>采购</w:t>
      </w:r>
      <w:bookmarkEnd w:id="71"/>
      <w:bookmarkEnd w:id="72"/>
      <w:r>
        <w:rPr>
          <w:rFonts w:ascii="宋体" w:hAnsi="宋体" w:cs="宋体"/>
          <w:color w:val="auto"/>
          <w:sz w:val="22"/>
          <w:szCs w:val="21"/>
        </w:rPr>
        <w:t>人第</w:t>
      </w:r>
      <w:r>
        <w:rPr>
          <w:rFonts w:hint="eastAsia" w:ascii="宋体" w:hAnsi="宋体" w:cs="宋体"/>
          <w:color w:val="auto"/>
          <w:sz w:val="22"/>
          <w:szCs w:val="21"/>
        </w:rPr>
        <w:t>七</w:t>
      </w:r>
      <w:r>
        <w:rPr>
          <w:rFonts w:ascii="宋体" w:hAnsi="宋体" w:cs="宋体"/>
          <w:color w:val="auto"/>
          <w:sz w:val="22"/>
          <w:szCs w:val="21"/>
        </w:rPr>
        <w:t>条</w:t>
      </w:r>
      <w:r>
        <w:rPr>
          <w:rFonts w:hint="eastAsia" w:ascii="宋体" w:hAnsi="宋体" w:cs="宋体"/>
          <w:color w:val="auto"/>
          <w:sz w:val="22"/>
          <w:szCs w:val="21"/>
        </w:rPr>
        <w:t>第1款</w:t>
      </w:r>
      <w:r>
        <w:rPr>
          <w:rFonts w:ascii="宋体" w:hAnsi="宋体" w:cs="宋体"/>
          <w:color w:val="auto"/>
          <w:sz w:val="22"/>
          <w:szCs w:val="21"/>
        </w:rPr>
        <w:t>损失的，逾期不超过 5 日，</w:t>
      </w:r>
      <w:r>
        <w:rPr>
          <w:rFonts w:hint="eastAsia" w:ascii="宋体" w:hAnsi="宋体" w:cs="宋体"/>
          <w:color w:val="auto"/>
          <w:sz w:val="22"/>
          <w:szCs w:val="21"/>
        </w:rPr>
        <w:t>供应商</w:t>
      </w:r>
      <w:r>
        <w:rPr>
          <w:rFonts w:ascii="宋体" w:hAnsi="宋体" w:cs="宋体"/>
          <w:color w:val="auto"/>
          <w:sz w:val="22"/>
          <w:szCs w:val="21"/>
        </w:rPr>
        <w:t>向</w:t>
      </w:r>
      <w:r>
        <w:rPr>
          <w:rFonts w:hint="eastAsia" w:ascii="宋体" w:hAnsi="宋体" w:cs="宋体"/>
          <w:color w:val="auto"/>
          <w:sz w:val="22"/>
          <w:szCs w:val="21"/>
        </w:rPr>
        <w:t>采购</w:t>
      </w:r>
      <w:r>
        <w:rPr>
          <w:rFonts w:ascii="宋体" w:hAnsi="宋体" w:cs="宋体"/>
          <w:color w:val="auto"/>
          <w:sz w:val="22"/>
          <w:szCs w:val="21"/>
        </w:rPr>
        <w:t>人支付</w:t>
      </w:r>
      <w:r>
        <w:rPr>
          <w:rFonts w:hint="eastAsia" w:ascii="宋体" w:hAnsi="宋体" w:cs="宋体"/>
          <w:color w:val="auto"/>
          <w:sz w:val="22"/>
          <w:szCs w:val="21"/>
        </w:rPr>
        <w:t>2000</w:t>
      </w:r>
      <w:r>
        <w:rPr>
          <w:rFonts w:ascii="宋体" w:hAnsi="宋体" w:cs="宋体"/>
          <w:color w:val="auto"/>
          <w:sz w:val="22"/>
          <w:szCs w:val="21"/>
        </w:rPr>
        <w:t>元/日的逾期违约金；逾期超过 15 日，</w:t>
      </w:r>
      <w:r>
        <w:rPr>
          <w:rFonts w:hint="eastAsia" w:ascii="宋体" w:hAnsi="宋体" w:cs="宋体"/>
          <w:color w:val="auto"/>
          <w:sz w:val="22"/>
          <w:szCs w:val="21"/>
        </w:rPr>
        <w:t>采购</w:t>
      </w:r>
      <w:r>
        <w:rPr>
          <w:rFonts w:ascii="宋体" w:hAnsi="宋体" w:cs="宋体"/>
          <w:color w:val="auto"/>
          <w:sz w:val="22"/>
          <w:szCs w:val="21"/>
        </w:rPr>
        <w:t>人有权终止合同，</w:t>
      </w:r>
      <w:r>
        <w:rPr>
          <w:rFonts w:hint="eastAsia" w:ascii="宋体" w:hAnsi="宋体" w:cs="宋体"/>
          <w:color w:val="auto"/>
          <w:sz w:val="22"/>
          <w:szCs w:val="21"/>
        </w:rPr>
        <w:t>供应商</w:t>
      </w:r>
      <w:r>
        <w:rPr>
          <w:rFonts w:ascii="宋体" w:hAnsi="宋体" w:cs="宋体"/>
          <w:color w:val="auto"/>
          <w:sz w:val="22"/>
          <w:szCs w:val="21"/>
        </w:rPr>
        <w:t>应按照本合同总价的</w:t>
      </w:r>
      <w:r>
        <w:rPr>
          <w:rFonts w:hint="eastAsia" w:ascii="宋体" w:hAnsi="宋体" w:cs="宋体"/>
          <w:color w:val="auto"/>
          <w:sz w:val="22"/>
          <w:szCs w:val="21"/>
        </w:rPr>
        <w:t>30</w:t>
      </w:r>
      <w:r>
        <w:rPr>
          <w:rFonts w:ascii="宋体" w:hAnsi="宋体" w:cs="宋体"/>
          <w:color w:val="auto"/>
          <w:sz w:val="22"/>
          <w:szCs w:val="21"/>
        </w:rPr>
        <w:t>%支付违约金</w:t>
      </w:r>
      <w:r>
        <w:rPr>
          <w:rFonts w:hint="eastAsia" w:ascii="宋体" w:hAnsi="宋体" w:cs="宋体"/>
          <w:color w:val="auto"/>
          <w:sz w:val="22"/>
          <w:szCs w:val="21"/>
        </w:rPr>
        <w:t>，前期支付费用予以退还，不允许再次投标。</w:t>
      </w:r>
      <w:r>
        <w:rPr>
          <w:rFonts w:hint="eastAsia" w:ascii="宋体" w:hAnsi="宋体" w:cs="宋体"/>
          <w:color w:val="auto"/>
          <w:sz w:val="22"/>
          <w:szCs w:val="21"/>
        </w:rPr>
        <w:br w:type="textWrapping"/>
      </w:r>
      <w:r>
        <w:rPr>
          <w:rFonts w:ascii="宋体" w:hAnsi="宋体" w:cs="宋体"/>
          <w:color w:val="auto"/>
          <w:sz w:val="22"/>
          <w:szCs w:val="21"/>
        </w:rPr>
        <w:t>3、</w:t>
      </w:r>
      <w:r>
        <w:rPr>
          <w:rFonts w:hint="eastAsia" w:ascii="宋体" w:hAnsi="宋体" w:cs="宋体"/>
          <w:color w:val="auto"/>
          <w:sz w:val="22"/>
          <w:szCs w:val="21"/>
        </w:rPr>
        <w:t>供应商提供服务团队的一级造价工程师执行出勤考核，提交初步成果前和对审期间，每人每月出勤未达到20日的，支付违约金1000元/人/日。</w:t>
      </w:r>
    </w:p>
    <w:p w14:paraId="2768BB91">
      <w:pPr>
        <w:adjustRightInd w:val="0"/>
        <w:snapToGrid w:val="0"/>
        <w:spacing w:beforeLines="50" w:line="360" w:lineRule="auto"/>
        <w:ind w:left="437" w:leftChars="208"/>
        <w:rPr>
          <w:rFonts w:ascii="宋体" w:hAnsi="宋体" w:cs="宋体"/>
          <w:color w:val="auto"/>
          <w:sz w:val="22"/>
          <w:szCs w:val="21"/>
        </w:rPr>
      </w:pPr>
      <w:r>
        <w:rPr>
          <w:rFonts w:hint="eastAsia" w:ascii="宋体" w:hAnsi="宋体" w:cs="宋体"/>
          <w:color w:val="auto"/>
          <w:sz w:val="22"/>
          <w:szCs w:val="21"/>
        </w:rPr>
        <w:t>4、供应商</w:t>
      </w:r>
      <w:r>
        <w:rPr>
          <w:rFonts w:ascii="宋体" w:hAnsi="宋体" w:cs="宋体"/>
          <w:color w:val="auto"/>
          <w:sz w:val="22"/>
          <w:szCs w:val="21"/>
        </w:rPr>
        <w:t>违约行为同时适用以上几种条款时，执行违约金额高的条款。</w:t>
      </w:r>
      <w:r>
        <w:rPr>
          <w:rFonts w:hint="eastAsia" w:ascii="宋体" w:hAnsi="宋体" w:cs="宋体"/>
          <w:color w:val="auto"/>
          <w:sz w:val="22"/>
          <w:szCs w:val="21"/>
        </w:rPr>
        <w:br w:type="textWrapping"/>
      </w:r>
      <w:r>
        <w:rPr>
          <w:rFonts w:hint="eastAsia" w:ascii="宋体" w:hAnsi="宋体" w:cs="宋体"/>
          <w:color w:val="auto"/>
          <w:sz w:val="22"/>
          <w:szCs w:val="21"/>
        </w:rPr>
        <w:t>5</w:t>
      </w:r>
      <w:r>
        <w:rPr>
          <w:rFonts w:ascii="宋体" w:hAnsi="宋体" w:cs="宋体"/>
          <w:color w:val="auto"/>
          <w:sz w:val="22"/>
          <w:szCs w:val="21"/>
        </w:rPr>
        <w:t>、</w:t>
      </w:r>
      <w:r>
        <w:rPr>
          <w:rFonts w:hint="eastAsia" w:ascii="宋体" w:hAnsi="宋体" w:cs="宋体"/>
          <w:color w:val="auto"/>
          <w:sz w:val="22"/>
          <w:szCs w:val="21"/>
        </w:rPr>
        <w:t>供应商</w:t>
      </w:r>
      <w:r>
        <w:rPr>
          <w:rFonts w:ascii="宋体" w:hAnsi="宋体" w:cs="宋体"/>
          <w:color w:val="auto"/>
          <w:sz w:val="22"/>
          <w:szCs w:val="21"/>
        </w:rPr>
        <w:t>提供的成果文件不论招标人是否最终确认，只要最终给</w:t>
      </w:r>
      <w:r>
        <w:rPr>
          <w:rFonts w:hint="eastAsia" w:ascii="宋体" w:hAnsi="宋体" w:cs="宋体"/>
          <w:color w:val="auto"/>
          <w:sz w:val="22"/>
          <w:szCs w:val="21"/>
        </w:rPr>
        <w:t>采购</w:t>
      </w:r>
      <w:r>
        <w:rPr>
          <w:rFonts w:ascii="宋体" w:hAnsi="宋体" w:cs="宋体"/>
          <w:color w:val="auto"/>
          <w:sz w:val="22"/>
          <w:szCs w:val="21"/>
        </w:rPr>
        <w:t>人造成了损失，均属于</w:t>
      </w:r>
      <w:r>
        <w:rPr>
          <w:rFonts w:hint="eastAsia" w:ascii="宋体" w:hAnsi="宋体" w:cs="宋体"/>
          <w:color w:val="auto"/>
          <w:sz w:val="22"/>
          <w:szCs w:val="21"/>
        </w:rPr>
        <w:t>供应商</w:t>
      </w:r>
      <w:r>
        <w:rPr>
          <w:rFonts w:ascii="宋体" w:hAnsi="宋体" w:cs="宋体"/>
          <w:color w:val="auto"/>
          <w:sz w:val="22"/>
          <w:szCs w:val="21"/>
        </w:rPr>
        <w:t>违约，并参照以上条款执行。</w:t>
      </w:r>
      <w:r>
        <w:rPr>
          <w:rFonts w:hint="eastAsia" w:ascii="宋体" w:hAnsi="宋体" w:cs="宋体"/>
          <w:color w:val="auto"/>
          <w:sz w:val="22"/>
          <w:szCs w:val="21"/>
        </w:rPr>
        <w:br w:type="textWrapping"/>
      </w:r>
      <w:r>
        <w:rPr>
          <w:rFonts w:hint="eastAsia" w:ascii="宋体" w:hAnsi="宋体" w:cs="宋体"/>
          <w:color w:val="auto"/>
          <w:sz w:val="22"/>
          <w:szCs w:val="21"/>
        </w:rPr>
        <w:t>6</w:t>
      </w:r>
      <w:r>
        <w:rPr>
          <w:rFonts w:ascii="宋体" w:hAnsi="宋体" w:cs="宋体"/>
          <w:color w:val="auto"/>
          <w:sz w:val="22"/>
          <w:szCs w:val="21"/>
        </w:rPr>
        <w:t>、如果</w:t>
      </w:r>
      <w:r>
        <w:rPr>
          <w:rFonts w:hint="eastAsia" w:ascii="宋体" w:hAnsi="宋体" w:cs="宋体"/>
          <w:color w:val="auto"/>
          <w:sz w:val="22"/>
          <w:szCs w:val="21"/>
        </w:rPr>
        <w:t>供应商</w:t>
      </w:r>
      <w:r>
        <w:rPr>
          <w:rFonts w:ascii="宋体" w:hAnsi="宋体" w:cs="宋体"/>
          <w:color w:val="auto"/>
          <w:sz w:val="22"/>
          <w:szCs w:val="21"/>
        </w:rPr>
        <w:t>人员在合作过程中，专业不熟悉或者用不正当手段损害</w:t>
      </w:r>
      <w:r>
        <w:rPr>
          <w:rFonts w:hint="eastAsia" w:ascii="宋体" w:hAnsi="宋体" w:cs="宋体"/>
          <w:color w:val="auto"/>
          <w:sz w:val="22"/>
          <w:szCs w:val="21"/>
        </w:rPr>
        <w:t>采购</w:t>
      </w:r>
      <w:r>
        <w:rPr>
          <w:rFonts w:ascii="宋体" w:hAnsi="宋体" w:cs="宋体"/>
          <w:color w:val="auto"/>
          <w:sz w:val="22"/>
          <w:szCs w:val="21"/>
        </w:rPr>
        <w:t>人利益</w:t>
      </w:r>
      <w:r>
        <w:rPr>
          <w:rFonts w:hint="eastAsia" w:ascii="宋体" w:hAnsi="宋体" w:cs="宋体"/>
          <w:color w:val="auto"/>
          <w:sz w:val="22"/>
          <w:szCs w:val="21"/>
        </w:rPr>
        <w:t>的</w:t>
      </w:r>
      <w:r>
        <w:rPr>
          <w:rFonts w:ascii="宋体" w:hAnsi="宋体" w:cs="宋体"/>
          <w:color w:val="auto"/>
          <w:sz w:val="22"/>
          <w:szCs w:val="21"/>
        </w:rPr>
        <w:t>，</w:t>
      </w:r>
      <w:r>
        <w:rPr>
          <w:rFonts w:hint="eastAsia" w:ascii="宋体" w:hAnsi="宋体" w:cs="宋体"/>
          <w:color w:val="auto"/>
          <w:sz w:val="22"/>
          <w:szCs w:val="21"/>
        </w:rPr>
        <w:t>采购</w:t>
      </w:r>
      <w:r>
        <w:rPr>
          <w:rFonts w:ascii="宋体" w:hAnsi="宋体" w:cs="宋体"/>
          <w:color w:val="auto"/>
          <w:sz w:val="22"/>
          <w:szCs w:val="21"/>
        </w:rPr>
        <w:t>人有权要求更换人员，</w:t>
      </w:r>
      <w:r>
        <w:rPr>
          <w:rFonts w:hint="eastAsia" w:ascii="宋体" w:hAnsi="宋体" w:cs="宋体"/>
          <w:color w:val="auto"/>
          <w:sz w:val="22"/>
          <w:szCs w:val="21"/>
        </w:rPr>
        <w:t>供应商</w:t>
      </w:r>
      <w:r>
        <w:rPr>
          <w:rFonts w:ascii="宋体" w:hAnsi="宋体" w:cs="宋体"/>
          <w:color w:val="auto"/>
          <w:sz w:val="22"/>
          <w:szCs w:val="21"/>
        </w:rPr>
        <w:t>必须无条件执行；触犯法律的，招标人保留法律追究的权利。</w:t>
      </w:r>
      <w:r>
        <w:rPr>
          <w:rFonts w:hint="eastAsia" w:ascii="宋体" w:hAnsi="宋体" w:cs="宋体"/>
          <w:color w:val="auto"/>
          <w:sz w:val="22"/>
          <w:szCs w:val="21"/>
        </w:rPr>
        <w:br w:type="textWrapping"/>
      </w:r>
      <w:r>
        <w:rPr>
          <w:rFonts w:hint="eastAsia" w:ascii="宋体" w:hAnsi="宋体" w:cs="宋体"/>
          <w:color w:val="auto"/>
          <w:sz w:val="22"/>
          <w:szCs w:val="21"/>
        </w:rPr>
        <w:t>7</w:t>
      </w:r>
      <w:r>
        <w:rPr>
          <w:rFonts w:ascii="宋体" w:hAnsi="宋体" w:cs="宋体"/>
          <w:color w:val="auto"/>
          <w:sz w:val="22"/>
          <w:szCs w:val="21"/>
        </w:rPr>
        <w:t>、如果</w:t>
      </w:r>
      <w:r>
        <w:rPr>
          <w:rFonts w:hint="eastAsia" w:ascii="宋体" w:hAnsi="宋体" w:cs="宋体"/>
          <w:color w:val="auto"/>
          <w:sz w:val="22"/>
          <w:szCs w:val="21"/>
        </w:rPr>
        <w:t>供应商</w:t>
      </w:r>
      <w:r>
        <w:rPr>
          <w:rFonts w:ascii="宋体" w:hAnsi="宋体" w:cs="宋体"/>
          <w:color w:val="auto"/>
          <w:sz w:val="22"/>
          <w:szCs w:val="21"/>
        </w:rPr>
        <w:t>履行合同义务行为达不到合同约定的标准和条件，并经书面要求改正后，15 天内仍无实质性改进的，</w:t>
      </w:r>
      <w:r>
        <w:rPr>
          <w:rFonts w:hint="eastAsia" w:ascii="宋体" w:hAnsi="宋体" w:cs="宋体"/>
          <w:color w:val="auto"/>
          <w:sz w:val="22"/>
          <w:szCs w:val="21"/>
        </w:rPr>
        <w:t>采购</w:t>
      </w:r>
      <w:r>
        <w:rPr>
          <w:rFonts w:ascii="宋体" w:hAnsi="宋体" w:cs="宋体"/>
          <w:color w:val="auto"/>
          <w:sz w:val="22"/>
          <w:szCs w:val="21"/>
        </w:rPr>
        <w:t>人有权单方解除合同，并书面通知</w:t>
      </w:r>
      <w:r>
        <w:rPr>
          <w:rFonts w:hint="eastAsia" w:ascii="宋体" w:hAnsi="宋体" w:cs="宋体"/>
          <w:color w:val="auto"/>
          <w:sz w:val="22"/>
          <w:szCs w:val="21"/>
        </w:rPr>
        <w:t>供应商</w:t>
      </w:r>
      <w:r>
        <w:rPr>
          <w:rFonts w:ascii="宋体" w:hAnsi="宋体" w:cs="宋体"/>
          <w:color w:val="auto"/>
          <w:sz w:val="22"/>
          <w:szCs w:val="21"/>
        </w:rPr>
        <w:t>后收回委托工作，由此造成的经济损失，</w:t>
      </w:r>
      <w:r>
        <w:rPr>
          <w:rFonts w:hint="eastAsia" w:ascii="宋体" w:hAnsi="宋体" w:cs="宋体"/>
          <w:color w:val="auto"/>
          <w:sz w:val="22"/>
          <w:szCs w:val="21"/>
        </w:rPr>
        <w:t>采购</w:t>
      </w:r>
      <w:r>
        <w:rPr>
          <w:rFonts w:ascii="宋体" w:hAnsi="宋体" w:cs="宋体"/>
          <w:color w:val="auto"/>
          <w:sz w:val="22"/>
          <w:szCs w:val="21"/>
        </w:rPr>
        <w:t>人有权</w:t>
      </w:r>
      <w:r>
        <w:rPr>
          <w:rFonts w:hint="eastAsia" w:ascii="宋体" w:hAnsi="宋体" w:cs="宋体"/>
          <w:color w:val="auto"/>
          <w:sz w:val="22"/>
          <w:szCs w:val="21"/>
          <w:lang w:val="en-US" w:eastAsia="zh-CN"/>
        </w:rPr>
        <w:t>不</w:t>
      </w:r>
      <w:r>
        <w:rPr>
          <w:rFonts w:ascii="宋体" w:hAnsi="宋体" w:cs="宋体"/>
          <w:color w:val="auto"/>
          <w:sz w:val="22"/>
          <w:szCs w:val="21"/>
        </w:rPr>
        <w:t>支付给</w:t>
      </w:r>
      <w:r>
        <w:rPr>
          <w:rFonts w:hint="eastAsia" w:ascii="宋体" w:hAnsi="宋体" w:cs="宋体"/>
          <w:color w:val="auto"/>
          <w:sz w:val="22"/>
          <w:szCs w:val="21"/>
        </w:rPr>
        <w:t>供应商</w:t>
      </w:r>
      <w:r>
        <w:rPr>
          <w:rFonts w:hint="eastAsia" w:ascii="宋体" w:hAnsi="宋体" w:cs="宋体"/>
          <w:color w:val="auto"/>
          <w:sz w:val="22"/>
          <w:szCs w:val="21"/>
          <w:lang w:val="en-US" w:eastAsia="zh-CN"/>
        </w:rPr>
        <w:t>剩余款项</w:t>
      </w:r>
      <w:r>
        <w:rPr>
          <w:rFonts w:ascii="宋体" w:hAnsi="宋体" w:cs="宋体"/>
          <w:color w:val="auto"/>
          <w:sz w:val="22"/>
          <w:szCs w:val="21"/>
        </w:rPr>
        <w:t>并保留进一步索赔的权利。</w:t>
      </w:r>
    </w:p>
    <w:p w14:paraId="6D4184D1">
      <w:pPr>
        <w:adjustRightInd w:val="0"/>
        <w:snapToGrid w:val="0"/>
        <w:spacing w:beforeLines="50" w:line="360" w:lineRule="auto"/>
        <w:ind w:left="420" w:leftChars="200"/>
        <w:rPr>
          <w:rFonts w:ascii="宋体" w:hAnsi="宋体" w:cs="宋体"/>
          <w:b/>
          <w:bCs/>
          <w:color w:val="auto"/>
          <w:sz w:val="22"/>
          <w:szCs w:val="21"/>
        </w:rPr>
      </w:pPr>
      <w:r>
        <w:rPr>
          <w:rFonts w:hint="eastAsia" w:ascii="宋体" w:hAnsi="宋体" w:cs="宋体"/>
          <w:b/>
          <w:bCs/>
          <w:color w:val="auto"/>
          <w:sz w:val="22"/>
          <w:szCs w:val="21"/>
        </w:rPr>
        <w:t>八</w:t>
      </w:r>
      <w:r>
        <w:rPr>
          <w:rFonts w:ascii="宋体" w:hAnsi="宋体" w:cs="宋体"/>
          <w:b/>
          <w:bCs/>
          <w:color w:val="auto"/>
          <w:sz w:val="22"/>
          <w:szCs w:val="21"/>
        </w:rPr>
        <w:t>、</w:t>
      </w:r>
      <w:r>
        <w:rPr>
          <w:rFonts w:hint="eastAsia" w:ascii="宋体" w:hAnsi="宋体" w:cs="宋体"/>
          <w:b/>
          <w:bCs/>
          <w:color w:val="auto"/>
          <w:sz w:val="22"/>
          <w:szCs w:val="21"/>
        </w:rPr>
        <w:t>其他</w:t>
      </w:r>
    </w:p>
    <w:p w14:paraId="4BA3611C">
      <w:pPr>
        <w:adjustRightInd w:val="0"/>
        <w:snapToGrid w:val="0"/>
        <w:spacing w:beforeLines="50" w:line="360" w:lineRule="auto"/>
        <w:ind w:left="420" w:leftChars="200"/>
        <w:rPr>
          <w:rFonts w:ascii="宋体" w:hAnsi="宋体" w:cs="宋体"/>
          <w:b/>
          <w:bCs/>
          <w:color w:val="auto"/>
          <w:sz w:val="22"/>
          <w:szCs w:val="21"/>
        </w:rPr>
      </w:pPr>
      <w:r>
        <w:rPr>
          <w:rFonts w:hint="eastAsia" w:ascii="宋体" w:hAnsi="宋体" w:cs="宋体"/>
          <w:b/>
          <w:bCs/>
          <w:color w:val="auto"/>
          <w:sz w:val="22"/>
          <w:szCs w:val="21"/>
        </w:rPr>
        <w:t>如果供应商出现以下情况之一，采购人有权终止合同：</w:t>
      </w:r>
    </w:p>
    <w:p w14:paraId="3C3DCA15">
      <w:pPr>
        <w:adjustRightInd w:val="0"/>
        <w:snapToGrid w:val="0"/>
        <w:spacing w:beforeLines="50" w:line="360" w:lineRule="auto"/>
        <w:ind w:left="420" w:leftChars="200"/>
        <w:rPr>
          <w:rFonts w:ascii="宋体" w:hAnsi="宋体" w:cs="宋体"/>
          <w:b/>
          <w:bCs/>
          <w:color w:val="auto"/>
          <w:sz w:val="22"/>
          <w:szCs w:val="21"/>
        </w:rPr>
      </w:pPr>
      <w:r>
        <w:rPr>
          <w:rFonts w:hint="eastAsia" w:ascii="宋体" w:hAnsi="宋体" w:cs="宋体"/>
          <w:b/>
          <w:bCs/>
          <w:color w:val="auto"/>
          <w:sz w:val="22"/>
          <w:szCs w:val="21"/>
        </w:rPr>
        <w:t xml:space="preserve">1、供应商的服务态度、服务质量与投标文件承诺的服务方案和内容不符的； </w:t>
      </w:r>
    </w:p>
    <w:p w14:paraId="30A871C6">
      <w:pPr>
        <w:adjustRightInd w:val="0"/>
        <w:snapToGrid w:val="0"/>
        <w:spacing w:beforeLines="50" w:line="360" w:lineRule="auto"/>
        <w:ind w:firstLine="442" w:firstLineChars="200"/>
        <w:rPr>
          <w:rFonts w:ascii="宋体" w:hAnsi="宋体" w:cs="宋体"/>
          <w:b/>
          <w:bCs/>
          <w:color w:val="auto"/>
          <w:sz w:val="22"/>
          <w:szCs w:val="21"/>
        </w:rPr>
      </w:pPr>
      <w:r>
        <w:rPr>
          <w:rFonts w:hint="eastAsia" w:ascii="宋体" w:hAnsi="宋体" w:cs="宋体"/>
          <w:b/>
          <w:bCs/>
          <w:color w:val="auto"/>
          <w:sz w:val="22"/>
          <w:szCs w:val="21"/>
        </w:rPr>
        <w:t xml:space="preserve">2、供应商的服务进度、审核效率与投标文件承诺的有明显偏差或不合理的； </w:t>
      </w:r>
    </w:p>
    <w:p w14:paraId="6FFCF2CC">
      <w:pPr>
        <w:adjustRightInd w:val="0"/>
        <w:snapToGrid w:val="0"/>
        <w:spacing w:beforeLines="50" w:line="360" w:lineRule="auto"/>
        <w:ind w:firstLine="442" w:firstLineChars="200"/>
        <w:rPr>
          <w:rFonts w:ascii="宋体" w:hAnsi="宋体" w:cs="宋体"/>
          <w:b/>
          <w:bCs/>
          <w:color w:val="auto"/>
          <w:sz w:val="22"/>
          <w:szCs w:val="21"/>
        </w:rPr>
      </w:pPr>
      <w:r>
        <w:rPr>
          <w:rFonts w:hint="eastAsia" w:ascii="宋体" w:hAnsi="宋体" w:cs="宋体"/>
          <w:b/>
          <w:bCs/>
          <w:color w:val="auto"/>
          <w:sz w:val="22"/>
          <w:szCs w:val="21"/>
        </w:rPr>
        <w:t xml:space="preserve">3、供应商擅自改变为本项目配备的注册造价师、工程造价审核等人员的； </w:t>
      </w:r>
    </w:p>
    <w:p w14:paraId="2A0790FE">
      <w:pPr>
        <w:adjustRightInd w:val="0"/>
        <w:snapToGrid w:val="0"/>
        <w:spacing w:beforeLines="50" w:line="360" w:lineRule="auto"/>
        <w:ind w:left="420" w:leftChars="200"/>
        <w:rPr>
          <w:rFonts w:ascii="宋体" w:hAnsi="宋体" w:cs="宋体"/>
          <w:b/>
          <w:bCs/>
          <w:color w:val="auto"/>
          <w:sz w:val="22"/>
          <w:szCs w:val="21"/>
        </w:rPr>
      </w:pPr>
      <w:r>
        <w:rPr>
          <w:rFonts w:hint="eastAsia" w:ascii="宋体" w:hAnsi="宋体" w:cs="宋体"/>
          <w:b/>
          <w:bCs/>
          <w:color w:val="auto"/>
          <w:sz w:val="22"/>
          <w:szCs w:val="21"/>
        </w:rPr>
        <w:t xml:space="preserve">4、与项目单位利益交换、应该核减未核减的； </w:t>
      </w:r>
    </w:p>
    <w:p w14:paraId="2CEA631A">
      <w:pPr>
        <w:adjustRightInd w:val="0"/>
        <w:snapToGrid w:val="0"/>
        <w:spacing w:beforeLines="50" w:line="360" w:lineRule="auto"/>
        <w:ind w:firstLine="442" w:firstLineChars="200"/>
        <w:rPr>
          <w:rFonts w:ascii="宋体" w:hAnsi="宋体" w:cs="宋体"/>
          <w:b/>
          <w:bCs/>
          <w:color w:val="auto"/>
          <w:sz w:val="22"/>
          <w:szCs w:val="21"/>
        </w:rPr>
      </w:pPr>
      <w:r>
        <w:rPr>
          <w:rFonts w:hint="eastAsia" w:ascii="宋体" w:hAnsi="宋体" w:cs="宋体"/>
          <w:b/>
          <w:bCs/>
          <w:color w:val="auto"/>
          <w:sz w:val="22"/>
          <w:szCs w:val="21"/>
        </w:rPr>
        <w:t xml:space="preserve">5、徇私舞弊，出具虚假审核报告的； </w:t>
      </w:r>
    </w:p>
    <w:p w14:paraId="353585C9">
      <w:pPr>
        <w:adjustRightInd w:val="0"/>
        <w:snapToGrid w:val="0"/>
        <w:spacing w:beforeLines="50" w:line="360" w:lineRule="auto"/>
        <w:ind w:left="420" w:leftChars="200"/>
        <w:rPr>
          <w:rFonts w:ascii="宋体" w:hAnsi="宋体" w:cs="宋体"/>
          <w:b/>
          <w:bCs/>
          <w:color w:val="auto"/>
          <w:sz w:val="22"/>
          <w:szCs w:val="21"/>
        </w:rPr>
      </w:pPr>
      <w:r>
        <w:rPr>
          <w:rFonts w:hint="eastAsia" w:ascii="宋体" w:hAnsi="宋体" w:cs="宋体"/>
          <w:b/>
          <w:bCs/>
          <w:color w:val="auto"/>
          <w:sz w:val="22"/>
          <w:szCs w:val="21"/>
        </w:rPr>
        <w:t>6、对发现的重要问题隐瞒不报或者不如实报告的；</w:t>
      </w:r>
    </w:p>
    <w:p w14:paraId="04BCEF67">
      <w:pPr>
        <w:adjustRightInd w:val="0"/>
        <w:snapToGrid w:val="0"/>
        <w:spacing w:beforeLines="50" w:line="360" w:lineRule="auto"/>
        <w:ind w:left="420" w:leftChars="200"/>
        <w:rPr>
          <w:rFonts w:ascii="宋体" w:hAnsi="宋体" w:cs="宋体"/>
          <w:b/>
          <w:bCs/>
          <w:color w:val="auto"/>
          <w:sz w:val="22"/>
          <w:szCs w:val="21"/>
        </w:rPr>
      </w:pPr>
      <w:r>
        <w:rPr>
          <w:rFonts w:hint="eastAsia" w:ascii="宋体" w:hAnsi="宋体" w:cs="宋体"/>
          <w:b/>
          <w:bCs/>
          <w:color w:val="auto"/>
          <w:sz w:val="22"/>
          <w:szCs w:val="21"/>
        </w:rPr>
        <w:t xml:space="preserve">7、因供应商原因造成国有资金流失的（同时依法追究其法律责任）； </w:t>
      </w:r>
    </w:p>
    <w:p w14:paraId="07AE3F32">
      <w:pPr>
        <w:adjustRightInd w:val="0"/>
        <w:snapToGrid w:val="0"/>
        <w:spacing w:beforeLines="50" w:line="360" w:lineRule="auto"/>
        <w:ind w:left="437" w:leftChars="208"/>
        <w:rPr>
          <w:rFonts w:ascii="宋体" w:hAnsi="宋体" w:cs="宋体"/>
          <w:b/>
          <w:bCs/>
          <w:color w:val="auto"/>
          <w:sz w:val="22"/>
          <w:szCs w:val="21"/>
        </w:rPr>
      </w:pPr>
      <w:r>
        <w:rPr>
          <w:rFonts w:hint="eastAsia" w:ascii="宋体" w:hAnsi="宋体" w:cs="宋体"/>
          <w:b/>
          <w:bCs/>
          <w:color w:val="auto"/>
          <w:sz w:val="22"/>
          <w:szCs w:val="21"/>
        </w:rPr>
        <w:t xml:space="preserve">8、涉及违反其他法规的按相关法规的规定处理。 </w:t>
      </w:r>
    </w:p>
    <w:p w14:paraId="61853288">
      <w:pPr>
        <w:pStyle w:val="36"/>
        <w:ind w:firstLine="880" w:firstLineChars="400"/>
        <w:rPr>
          <w:rFonts w:ascii="黑体" w:hAnsi="华文中宋" w:eastAsia="黑体"/>
          <w:b/>
          <w:color w:val="auto"/>
          <w:sz w:val="32"/>
          <w:szCs w:val="32"/>
        </w:rPr>
      </w:pPr>
      <w:r>
        <w:rPr>
          <w:rFonts w:ascii="宋体" w:hAnsi="宋体" w:cs="宋体"/>
          <w:color w:val="auto"/>
          <w:sz w:val="22"/>
          <w:szCs w:val="21"/>
        </w:rPr>
        <w:t>对于上述项目要求，</w:t>
      </w:r>
      <w:r>
        <w:rPr>
          <w:rFonts w:hint="eastAsia" w:ascii="宋体" w:hAnsi="宋体" w:cs="宋体"/>
          <w:color w:val="auto"/>
          <w:sz w:val="22"/>
          <w:szCs w:val="21"/>
        </w:rPr>
        <w:t>供应商</w:t>
      </w:r>
      <w:r>
        <w:rPr>
          <w:rFonts w:ascii="宋体" w:hAnsi="宋体" w:cs="宋体"/>
          <w:color w:val="auto"/>
          <w:sz w:val="22"/>
          <w:szCs w:val="21"/>
        </w:rPr>
        <w:t>应在投标文件中进行回应，做出承诺及说明</w:t>
      </w:r>
      <w:r>
        <w:rPr>
          <w:rFonts w:hint="eastAsia" w:ascii="宋体" w:hAnsi="宋体" w:cs="宋体"/>
          <w:color w:val="auto"/>
          <w:sz w:val="22"/>
          <w:szCs w:val="21"/>
        </w:rPr>
        <w:t>本招标文件未涉及的其他事宜，由采购人与中标方在合同中另行约定。</w:t>
      </w:r>
      <w:bookmarkEnd w:id="69"/>
      <w:bookmarkStart w:id="73" w:name="_Toc21574"/>
    </w:p>
    <w:p w14:paraId="0FC97A90">
      <w:pPr>
        <w:pStyle w:val="36"/>
        <w:ind w:firstLine="0"/>
        <w:rPr>
          <w:rFonts w:ascii="黑体" w:hAnsi="华文中宋" w:eastAsia="黑体"/>
          <w:b/>
          <w:color w:val="auto"/>
          <w:sz w:val="32"/>
          <w:szCs w:val="32"/>
        </w:rPr>
      </w:pPr>
    </w:p>
    <w:p w14:paraId="74D93694">
      <w:pPr>
        <w:pStyle w:val="36"/>
        <w:ind w:firstLine="0"/>
        <w:rPr>
          <w:rFonts w:ascii="黑体" w:hAnsi="华文中宋" w:eastAsia="黑体"/>
          <w:b/>
          <w:color w:val="auto"/>
          <w:sz w:val="32"/>
          <w:szCs w:val="32"/>
        </w:rPr>
      </w:pPr>
    </w:p>
    <w:p w14:paraId="60C79C9C">
      <w:pPr>
        <w:pStyle w:val="12"/>
        <w:spacing w:before="312" w:after="156"/>
        <w:rPr>
          <w:color w:val="auto"/>
        </w:rPr>
      </w:pPr>
      <w:bookmarkStart w:id="74" w:name="_Toc22681"/>
      <w:bookmarkStart w:id="75" w:name="_Toc1202"/>
      <w:r>
        <w:rPr>
          <w:rFonts w:hint="eastAsia"/>
          <w:color w:val="auto"/>
        </w:rPr>
        <w:t>第六章 合同</w:t>
      </w:r>
      <w:bookmarkEnd w:id="74"/>
      <w:bookmarkEnd w:id="75"/>
    </w:p>
    <w:p w14:paraId="487CE74B">
      <w:pPr>
        <w:pStyle w:val="36"/>
        <w:rPr>
          <w:rFonts w:ascii="宋体" w:hAnsi="宋体"/>
          <w:color w:val="auto"/>
          <w:kern w:val="2"/>
          <w:sz w:val="21"/>
          <w:szCs w:val="21"/>
        </w:rPr>
      </w:pPr>
      <w:r>
        <w:rPr>
          <w:rFonts w:hint="eastAsia" w:ascii="宋体" w:hAnsi="宋体"/>
          <w:color w:val="auto"/>
          <w:kern w:val="2"/>
          <w:sz w:val="21"/>
          <w:szCs w:val="21"/>
        </w:rPr>
        <w:t>采购人应自中标结果公示结束之日起30日内与中标人签订合同。所签订的合同不得对招标文件确定的事项和中标人投标文件作实质性修改。</w:t>
      </w:r>
    </w:p>
    <w:p w14:paraId="02DC57B7">
      <w:pPr>
        <w:pStyle w:val="36"/>
        <w:rPr>
          <w:rFonts w:ascii="黑体" w:hAnsi="华文中宋" w:eastAsia="黑体"/>
          <w:b/>
          <w:color w:val="auto"/>
          <w:sz w:val="32"/>
          <w:szCs w:val="32"/>
        </w:rPr>
      </w:pPr>
    </w:p>
    <w:p w14:paraId="34184934">
      <w:pPr>
        <w:pStyle w:val="36"/>
        <w:rPr>
          <w:rFonts w:ascii="黑体" w:hAnsi="华文中宋" w:eastAsia="黑体"/>
          <w:b/>
          <w:color w:val="auto"/>
          <w:sz w:val="32"/>
          <w:szCs w:val="32"/>
        </w:rPr>
      </w:pPr>
    </w:p>
    <w:p w14:paraId="07C22738">
      <w:pPr>
        <w:adjustRightInd w:val="0"/>
        <w:snapToGrid w:val="0"/>
        <w:spacing w:beforeLines="50" w:line="360" w:lineRule="auto"/>
        <w:rPr>
          <w:rFonts w:ascii="宋体" w:hAnsi="宋体"/>
          <w:color w:val="auto"/>
          <w:szCs w:val="21"/>
        </w:rPr>
      </w:pPr>
      <w:r>
        <w:rPr>
          <w:rFonts w:hint="eastAsia" w:ascii="宋体" w:hAnsi="宋体" w:cs="宋体"/>
          <w:color w:val="auto"/>
          <w:szCs w:val="21"/>
        </w:rPr>
        <w:t>委托人</w:t>
      </w:r>
      <w:r>
        <w:rPr>
          <w:rFonts w:hint="eastAsia" w:ascii="宋体" w:hAnsi="宋体"/>
          <w:color w:val="auto"/>
          <w:szCs w:val="21"/>
        </w:rPr>
        <w:t>（全称）：</w:t>
      </w:r>
      <w:r>
        <w:rPr>
          <w:rFonts w:hint="eastAsia" w:ascii="宋体" w:hAnsi="宋体"/>
          <w:color w:val="auto"/>
          <w:szCs w:val="21"/>
          <w:u w:val="single"/>
        </w:rPr>
        <w:t xml:space="preserve"> 娄底市万宝新区开发投资集团有限公司 </w:t>
      </w:r>
      <w:r>
        <w:rPr>
          <w:rFonts w:hint="eastAsia" w:ascii="宋体" w:hAnsi="宋体"/>
          <w:color w:val="auto"/>
          <w:szCs w:val="21"/>
        </w:rPr>
        <w:t>（甲方）</w:t>
      </w:r>
    </w:p>
    <w:p w14:paraId="1A1BEADD">
      <w:pPr>
        <w:adjustRightInd w:val="0"/>
        <w:snapToGrid w:val="0"/>
        <w:spacing w:beforeLines="50" w:line="360" w:lineRule="auto"/>
        <w:rPr>
          <w:rFonts w:ascii="宋体" w:hAnsi="宋体"/>
          <w:color w:val="auto"/>
          <w:szCs w:val="21"/>
        </w:rPr>
      </w:pPr>
      <w:r>
        <w:rPr>
          <w:rFonts w:hint="eastAsia" w:ascii="宋体" w:hAnsi="宋体" w:cs="宋体"/>
          <w:color w:val="auto"/>
          <w:szCs w:val="21"/>
        </w:rPr>
        <w:t>咨询（受托）人</w:t>
      </w:r>
      <w:r>
        <w:rPr>
          <w:rFonts w:hint="eastAsia" w:ascii="宋体" w:hAnsi="宋体"/>
          <w:color w:val="auto"/>
          <w:szCs w:val="21"/>
        </w:rPr>
        <w:t>（全称）：</w:t>
      </w:r>
      <w:r>
        <w:rPr>
          <w:rFonts w:hint="eastAsia" w:ascii="宋体" w:hAnsi="宋体"/>
          <w:color w:val="auto"/>
          <w:szCs w:val="21"/>
          <w:u w:val="single"/>
        </w:rPr>
        <w:t xml:space="preserve">                             </w:t>
      </w:r>
      <w:r>
        <w:rPr>
          <w:rFonts w:hint="eastAsia" w:ascii="宋体" w:hAnsi="宋体"/>
          <w:color w:val="auto"/>
          <w:szCs w:val="21"/>
        </w:rPr>
        <w:t>（乙方）</w:t>
      </w:r>
    </w:p>
    <w:p w14:paraId="0E55182A">
      <w:pPr>
        <w:pStyle w:val="6"/>
        <w:adjustRightInd w:val="0"/>
        <w:snapToGrid w:val="0"/>
        <w:spacing w:beforeLines="50" w:after="0" w:line="360" w:lineRule="auto"/>
        <w:rPr>
          <w:rFonts w:ascii="宋体" w:hAnsi="宋体"/>
          <w:color w:val="auto"/>
          <w:szCs w:val="21"/>
        </w:rPr>
      </w:pPr>
    </w:p>
    <w:p w14:paraId="2440A7FC">
      <w:pPr>
        <w:pStyle w:val="6"/>
        <w:adjustRightInd w:val="0"/>
        <w:snapToGrid w:val="0"/>
        <w:spacing w:beforeLines="50" w:after="0" w:line="360" w:lineRule="auto"/>
        <w:ind w:left="0" w:leftChars="0" w:firstLine="420" w:firstLineChars="200"/>
        <w:rPr>
          <w:rFonts w:ascii="宋体" w:hAnsi="宋体"/>
          <w:color w:val="auto"/>
          <w:szCs w:val="21"/>
        </w:rPr>
      </w:pPr>
      <w:r>
        <w:rPr>
          <w:rFonts w:hint="eastAsia" w:ascii="宋体" w:hAnsi="宋体"/>
          <w:color w:val="auto"/>
          <w:szCs w:val="21"/>
        </w:rPr>
        <w:t>为了保护甲、乙双方合法权益，根据《中华人民共和国民法典》、《中华人民共和国政府采购法》及其他有关法律、法规、规章，双方签订本合同协议书。</w:t>
      </w:r>
    </w:p>
    <w:p w14:paraId="408B7EE8">
      <w:pPr>
        <w:adjustRightInd w:val="0"/>
        <w:snapToGrid w:val="0"/>
        <w:spacing w:beforeLines="50" w:line="360" w:lineRule="auto"/>
        <w:ind w:firstLine="422" w:firstLineChars="200"/>
        <w:rPr>
          <w:rFonts w:ascii="宋体" w:hAnsi="宋体"/>
          <w:b/>
          <w:color w:val="auto"/>
          <w:szCs w:val="21"/>
        </w:rPr>
      </w:pPr>
      <w:r>
        <w:rPr>
          <w:rFonts w:hint="eastAsia" w:ascii="宋体" w:hAnsi="宋体"/>
          <w:b/>
          <w:color w:val="auto"/>
          <w:szCs w:val="21"/>
        </w:rPr>
        <w:t>1.项目信息</w:t>
      </w:r>
    </w:p>
    <w:p w14:paraId="286C4609">
      <w:pPr>
        <w:spacing w:afterLines="50" w:line="440" w:lineRule="exact"/>
        <w:ind w:firstLine="420" w:firstLineChars="200"/>
        <w:rPr>
          <w:rFonts w:ascii="宋体" w:hAnsi="宋体"/>
          <w:color w:val="auto"/>
          <w:szCs w:val="21"/>
        </w:rPr>
      </w:pPr>
      <w:r>
        <w:rPr>
          <w:rFonts w:hint="eastAsia" w:ascii="宋体" w:hAnsi="宋体"/>
          <w:color w:val="auto"/>
          <w:szCs w:val="21"/>
        </w:rPr>
        <w:t>（1）采购项目名称：</w:t>
      </w:r>
      <w:r>
        <w:rPr>
          <w:rFonts w:hint="eastAsia" w:ascii="宋体" w:hAnsi="宋体"/>
          <w:color w:val="auto"/>
          <w:szCs w:val="21"/>
          <w:u w:val="single"/>
        </w:rPr>
        <w:t>娄底水府示范片万宝新区娄星南路北段及众园路建设工程（万宝新区众园路西段（GK0+200~GK0+902.924、K0+528.557~K1+300）</w:t>
      </w:r>
      <w:r>
        <w:rPr>
          <w:rFonts w:hint="eastAsia" w:ascii="宋体" w:hAnsi="宋体"/>
          <w:color w:val="auto"/>
          <w:szCs w:val="21"/>
          <w:u w:val="single"/>
          <w:lang w:eastAsia="zh-CN"/>
        </w:rPr>
        <w:t>）</w:t>
      </w:r>
      <w:r>
        <w:rPr>
          <w:rFonts w:hint="eastAsia" w:ascii="宋体" w:hAnsi="宋体"/>
          <w:color w:val="auto"/>
          <w:szCs w:val="21"/>
          <w:u w:val="single"/>
        </w:rPr>
        <w:t>结算审核造价咨询服务</w:t>
      </w:r>
      <w:r>
        <w:rPr>
          <w:rFonts w:hint="eastAsia" w:ascii="宋体" w:hAnsi="宋体"/>
          <w:color w:val="auto"/>
          <w:szCs w:val="21"/>
        </w:rPr>
        <w:t>；</w:t>
      </w:r>
    </w:p>
    <w:p w14:paraId="51F4521A">
      <w:pPr>
        <w:pStyle w:val="6"/>
        <w:adjustRightInd w:val="0"/>
        <w:snapToGrid w:val="0"/>
        <w:spacing w:beforeLines="50" w:after="0" w:line="360" w:lineRule="auto"/>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ascii="宋体" w:hAnsi="宋体"/>
          <w:color w:val="auto"/>
          <w:szCs w:val="21"/>
        </w:rPr>
        <w:t xml:space="preserve"> </w:t>
      </w:r>
    </w:p>
    <w:p w14:paraId="5D0D5664">
      <w:pPr>
        <w:adjustRightInd w:val="0"/>
        <w:snapToGrid w:val="0"/>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（3）项目内容：</w:t>
      </w:r>
      <w:r>
        <w:rPr>
          <w:rFonts w:hint="eastAsia" w:ascii="宋体" w:hAnsi="宋体" w:cs="Times New Roman"/>
          <w:color w:val="auto"/>
          <w:szCs w:val="21"/>
        </w:rPr>
        <w:t>娄底水府示范片万宝新区众园路西段（GK0+200~GK0+902.924、K0+528.557~K1+300）工程结算审核</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施工单位结算送审金额16951.08万元</w:t>
      </w:r>
      <w:r>
        <w:rPr>
          <w:rFonts w:hint="eastAsia" w:ascii="宋体" w:hAnsi="宋体" w:cs="Times New Roman"/>
          <w:color w:val="auto"/>
          <w:szCs w:val="21"/>
        </w:rPr>
        <w:t>。主要包括道路工程、排水工程、人行道工程、市政管沟工程、标识标牌工程等及因道路施工造成水、电、气、路等改造需施工单位实施的工作内容的竣工结算审核造价咨询服务</w:t>
      </w:r>
      <w:r>
        <w:rPr>
          <w:rFonts w:hint="eastAsia" w:ascii="宋体" w:hAnsi="宋体" w:cs="Times New Roman"/>
          <w:color w:val="auto"/>
          <w:szCs w:val="21"/>
          <w:lang w:eastAsia="zh-CN"/>
        </w:rPr>
        <w:t>。</w:t>
      </w:r>
    </w:p>
    <w:p w14:paraId="03DFE103">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（4）是否分包：</w:t>
      </w:r>
      <w:r>
        <w:rPr>
          <w:rFonts w:hint="eastAsia" w:ascii="宋体" w:hAnsi="宋体"/>
          <w:color w:val="auto"/>
          <w:szCs w:val="21"/>
          <w:u w:val="single"/>
        </w:rPr>
        <w:t>否</w:t>
      </w:r>
      <w:r>
        <w:rPr>
          <w:rFonts w:hint="eastAsia" w:ascii="宋体" w:hAnsi="宋体"/>
          <w:color w:val="auto"/>
          <w:szCs w:val="21"/>
        </w:rPr>
        <w:t>。</w:t>
      </w:r>
    </w:p>
    <w:p w14:paraId="2725D0BC">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（5）项目负责人：</w:t>
      </w:r>
      <w:r>
        <w:rPr>
          <w:rFonts w:hint="eastAsia" w:ascii="宋体" w:hAnsi="宋体"/>
          <w:color w:val="auto"/>
          <w:szCs w:val="21"/>
          <w:u w:val="single"/>
        </w:rPr>
        <w:t xml:space="preserve">            </w:t>
      </w:r>
      <w:r>
        <w:rPr>
          <w:rFonts w:hint="eastAsia" w:ascii="宋体" w:hAnsi="宋体"/>
          <w:color w:val="auto"/>
          <w:szCs w:val="21"/>
        </w:rPr>
        <w:t>。</w:t>
      </w:r>
    </w:p>
    <w:p w14:paraId="46E9F815">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（6）联系电话：</w:t>
      </w:r>
      <w:r>
        <w:rPr>
          <w:rFonts w:hint="eastAsia" w:ascii="宋体" w:hAnsi="宋体"/>
          <w:color w:val="auto"/>
          <w:szCs w:val="21"/>
          <w:u w:val="single"/>
        </w:rPr>
        <w:t xml:space="preserve">               </w:t>
      </w:r>
      <w:r>
        <w:rPr>
          <w:rFonts w:hint="eastAsia" w:ascii="宋体" w:hAnsi="宋体"/>
          <w:color w:val="auto"/>
          <w:szCs w:val="21"/>
        </w:rPr>
        <w:t>。</w:t>
      </w:r>
    </w:p>
    <w:p w14:paraId="481D8418">
      <w:pPr>
        <w:adjustRightInd w:val="0"/>
        <w:snapToGrid w:val="0"/>
        <w:spacing w:beforeLines="50" w:line="360" w:lineRule="auto"/>
        <w:ind w:firstLine="413" w:firstLineChars="196"/>
        <w:rPr>
          <w:rFonts w:ascii="宋体" w:hAnsi="宋体"/>
          <w:b/>
          <w:color w:val="auto"/>
          <w:szCs w:val="21"/>
        </w:rPr>
      </w:pPr>
      <w:r>
        <w:rPr>
          <w:rFonts w:hint="eastAsia" w:ascii="宋体" w:hAnsi="宋体"/>
          <w:b/>
          <w:color w:val="auto"/>
          <w:szCs w:val="21"/>
        </w:rPr>
        <w:t>2.合同金额</w:t>
      </w:r>
    </w:p>
    <w:p w14:paraId="0BEC4AC1">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6D4FFDF4">
      <w:pPr>
        <w:adjustRightInd w:val="0"/>
        <w:snapToGrid w:val="0"/>
        <w:spacing w:beforeLines="50" w:line="360" w:lineRule="auto"/>
        <w:ind w:firstLine="1260" w:firstLineChars="600"/>
        <w:rPr>
          <w:rFonts w:ascii="宋体" w:hAnsi="宋体"/>
          <w:b/>
          <w:color w:val="auto"/>
          <w:szCs w:val="21"/>
        </w:rPr>
      </w:pPr>
      <w:r>
        <w:rPr>
          <w:rFonts w:hint="eastAsia" w:ascii="宋体" w:hAnsi="宋体"/>
          <w:color w:val="auto"/>
          <w:szCs w:val="21"/>
        </w:rPr>
        <w:t>大写：</w:t>
      </w:r>
      <w:r>
        <w:rPr>
          <w:rFonts w:hint="eastAsia" w:ascii="宋体" w:hAnsi="宋体"/>
          <w:color w:val="auto"/>
          <w:szCs w:val="21"/>
          <w:u w:val="single"/>
        </w:rPr>
        <w:t xml:space="preserve">                      </w:t>
      </w:r>
    </w:p>
    <w:p w14:paraId="3F615195">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（2）具体标的见附件。</w:t>
      </w:r>
    </w:p>
    <w:p w14:paraId="08FBFD6C">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（3）合同定价方式：</w:t>
      </w:r>
      <w:r>
        <w:rPr>
          <w:rFonts w:hint="eastAsia" w:ascii="宋体" w:hAnsi="宋体"/>
          <w:iCs/>
          <w:color w:val="auto"/>
          <w:szCs w:val="21"/>
        </w:rPr>
        <w:sym w:font="Wingdings" w:char="00FE"/>
      </w:r>
      <w:r>
        <w:rPr>
          <w:rFonts w:hint="eastAsia" w:ascii="宋体" w:hAnsi="宋体"/>
          <w:iCs/>
          <w:color w:val="auto"/>
          <w:szCs w:val="21"/>
        </w:rPr>
        <w:t xml:space="preserve">总价合同 </w:t>
      </w:r>
      <w:r>
        <w:rPr>
          <w:rFonts w:hint="eastAsia" w:ascii="宋体" w:hAnsi="宋体"/>
          <w:iCs/>
          <w:color w:val="auto"/>
          <w:szCs w:val="21"/>
        </w:rPr>
        <w:sym w:font="Wingdings" w:char="00A8"/>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绩效激励</w:t>
      </w:r>
    </w:p>
    <w:p w14:paraId="31087C7E">
      <w:pPr>
        <w:pStyle w:val="2"/>
        <w:rPr>
          <w:rFonts w:ascii="宋体" w:hAnsi="宋体"/>
          <w:color w:val="auto"/>
          <w:sz w:val="21"/>
        </w:rPr>
      </w:pPr>
      <w:r>
        <w:rPr>
          <w:rFonts w:hint="eastAsia" w:ascii="宋体" w:hAnsi="宋体"/>
          <w:color w:val="auto"/>
          <w:sz w:val="21"/>
        </w:rPr>
        <w:t>（4）付款方式（按项目实际勾选填写）：</w:t>
      </w:r>
    </w:p>
    <w:p w14:paraId="508F29FA">
      <w:pPr>
        <w:adjustRightInd w:val="0"/>
        <w:snapToGrid w:val="0"/>
        <w:spacing w:beforeLines="50" w:line="360" w:lineRule="auto"/>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（应一次性支付全部合同款项）                    </w:t>
      </w:r>
    </w:p>
    <w:p w14:paraId="46340E15">
      <w:pPr>
        <w:ind w:firstLine="630" w:firstLineChars="300"/>
        <w:rPr>
          <w:rFonts w:ascii="宋体" w:hAnsi="宋体" w:cs="宋体"/>
          <w:bCs/>
          <w:color w:val="auto"/>
          <w:szCs w:val="21"/>
        </w:rPr>
      </w:pPr>
      <w:r>
        <w:rPr>
          <w:rFonts w:hint="eastAsia" w:ascii="宋体" w:hAnsi="宋体"/>
          <w:color w:val="auto"/>
          <w:szCs w:val="21"/>
        </w:rPr>
        <w:sym w:font="Wingdings" w:char="00A8"/>
      </w:r>
      <w:r>
        <w:rPr>
          <w:rFonts w:hint="eastAsia" w:ascii="宋体" w:hAnsi="宋体"/>
          <w:color w:val="auto"/>
          <w:szCs w:val="21"/>
        </w:rPr>
        <w:t>预付款：</w:t>
      </w:r>
      <w:r>
        <w:rPr>
          <w:rFonts w:hint="eastAsia"/>
          <w:color w:val="auto"/>
          <w:szCs w:val="21"/>
          <w:shd w:val="clear" w:color="auto" w:fill="FFFFFF"/>
        </w:rPr>
        <w:t>合同金额的10</w:t>
      </w:r>
      <w:r>
        <w:rPr>
          <w:rFonts w:hint="eastAsia" w:ascii="宋体" w:hAnsi="宋体" w:cs="宋体"/>
          <w:color w:val="auto"/>
          <w:szCs w:val="21"/>
          <w:shd w:val="clear" w:color="auto" w:fill="FFFFFF"/>
        </w:rPr>
        <w:t>%。</w:t>
      </w:r>
      <w:r>
        <w:rPr>
          <w:rFonts w:hint="eastAsia" w:ascii="宋体" w:hAnsi="宋体" w:cs="宋体"/>
          <w:bCs/>
          <w:color w:val="auto"/>
          <w:szCs w:val="21"/>
        </w:rPr>
        <w:t>合同生效后，服务团队入驻开展实质性工作，提供等金额预付款担保，并经委托人确认后7个工作日内由委托人向咨询（受托）人支付。</w:t>
      </w:r>
    </w:p>
    <w:p w14:paraId="7E2CCBAC">
      <w:pPr>
        <w:adjustRightInd w:val="0"/>
        <w:snapToGrid w:val="0"/>
        <w:spacing w:beforeLines="50" w:line="360" w:lineRule="auto"/>
        <w:ind w:firstLine="630" w:firstLineChars="300"/>
        <w:rPr>
          <w:rFonts w:ascii="宋体" w:hAnsi="宋体"/>
          <w:color w:val="auto"/>
          <w:szCs w:val="21"/>
          <w:u w:val="single"/>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s="宋体"/>
          <w:bCs/>
          <w:color w:val="auto"/>
          <w:szCs w:val="21"/>
          <w:u w:val="single"/>
        </w:rPr>
        <w:t>提交初步审核成果文件后10日内支付至合同金额的50%，完成与施工单位对审，出具结算审核报告后10日内支付至合同金额的60%，复审完成并出具正式结论支付剩余咨询费用。（</w:t>
      </w:r>
      <w:r>
        <w:rPr>
          <w:rFonts w:ascii="宋体" w:hAnsi="宋体" w:cs="宋体"/>
          <w:b/>
          <w:bCs/>
          <w:color w:val="auto"/>
          <w:sz w:val="22"/>
          <w:szCs w:val="21"/>
          <w:u w:val="single"/>
        </w:rPr>
        <w:t>项目</w:t>
      </w:r>
      <w:r>
        <w:rPr>
          <w:rFonts w:hint="eastAsia" w:ascii="宋体" w:hAnsi="宋体" w:cs="宋体"/>
          <w:b/>
          <w:bCs/>
          <w:color w:val="auto"/>
          <w:sz w:val="22"/>
          <w:szCs w:val="21"/>
          <w:u w:val="single"/>
        </w:rPr>
        <w:t>复审根据项目所在地审计或评审政策、业主单位制度及要求执行）</w:t>
      </w:r>
    </w:p>
    <w:p w14:paraId="60ECBAEB">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11054268">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33C3CFF6">
      <w:pPr>
        <w:adjustRightInd w:val="0"/>
        <w:snapToGrid w:val="0"/>
        <w:spacing w:beforeLines="50" w:line="360" w:lineRule="auto"/>
        <w:ind w:firstLine="422" w:firstLineChars="200"/>
        <w:rPr>
          <w:rFonts w:ascii="宋体" w:hAnsi="宋体"/>
          <w:color w:val="auto"/>
          <w:szCs w:val="21"/>
          <w:u w:val="single"/>
        </w:rPr>
      </w:pPr>
      <w:r>
        <w:rPr>
          <w:rFonts w:hint="eastAsia" w:ascii="宋体" w:hAnsi="宋体"/>
          <w:b/>
          <w:color w:val="auto"/>
          <w:szCs w:val="21"/>
        </w:rPr>
        <w:t>3.合同履行</w:t>
      </w:r>
    </w:p>
    <w:p w14:paraId="1CD1F0DD">
      <w:pPr>
        <w:adjustRightInd w:val="0"/>
        <w:snapToGrid w:val="0"/>
        <w:spacing w:beforeLines="50" w:line="360" w:lineRule="auto"/>
        <w:ind w:firstLine="420" w:firstLineChars="200"/>
        <w:rPr>
          <w:rFonts w:ascii="宋体" w:hAnsi="宋体" w:cs="宋体"/>
          <w:color w:val="auto"/>
          <w:sz w:val="22"/>
          <w:szCs w:val="21"/>
        </w:rPr>
      </w:pPr>
      <w:r>
        <w:rPr>
          <w:rFonts w:hint="eastAsia" w:ascii="宋体" w:hAnsi="宋体"/>
          <w:color w:val="auto"/>
          <w:szCs w:val="21"/>
        </w:rPr>
        <w:t>（1）起始日期：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日，完成日期：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s="宋体"/>
          <w:color w:val="auto"/>
          <w:sz w:val="22"/>
          <w:szCs w:val="21"/>
        </w:rPr>
        <w:t>自采购人书面移交结算资料起120日历天（起算日后70天内，提供审核初步成果，提交初步成果35天内完成与施工单位的对审，对审完成15天内，出具正式结论；非采购人原因导致的服务时间增加，服务期限顺延，咨询服务费不变）。供应商在复审期间需提供咨询服务，相关咨询费用已包含在合同总价中。</w:t>
      </w:r>
    </w:p>
    <w:p w14:paraId="7F200B9F">
      <w:pPr>
        <w:adjustRightInd w:val="0"/>
        <w:snapToGrid w:val="0"/>
        <w:spacing w:beforeLines="50" w:line="360" w:lineRule="auto"/>
        <w:ind w:firstLine="420" w:firstLineChars="200"/>
        <w:rPr>
          <w:rFonts w:ascii="宋体" w:hAnsi="宋体"/>
          <w:color w:val="auto"/>
          <w:szCs w:val="21"/>
          <w:u w:val="single"/>
        </w:rPr>
      </w:pPr>
      <w:r>
        <w:rPr>
          <w:rFonts w:hint="eastAsia" w:ascii="宋体" w:hAnsi="宋体"/>
          <w:color w:val="auto"/>
          <w:szCs w:val="21"/>
        </w:rPr>
        <w:t>（2）地点</w:t>
      </w:r>
      <w:r>
        <w:rPr>
          <w:rFonts w:hint="eastAsia" w:ascii="宋体" w:hAnsi="宋体"/>
          <w:b/>
          <w:color w:val="auto"/>
          <w:szCs w:val="21"/>
        </w:rPr>
        <w:t>：</w:t>
      </w:r>
      <w:r>
        <w:rPr>
          <w:rFonts w:hint="eastAsia" w:ascii="宋体" w:hAnsi="宋体"/>
          <w:color w:val="auto"/>
          <w:szCs w:val="21"/>
          <w:u w:val="single"/>
        </w:rPr>
        <w:t xml:space="preserve">         合同签订后，咨询人应在娄底市娄星城区设立该项目的办公场所     </w:t>
      </w:r>
    </w:p>
    <w:p w14:paraId="3959CBCA">
      <w:pPr>
        <w:adjustRightInd w:val="0"/>
        <w:snapToGrid w:val="0"/>
        <w:spacing w:beforeLines="50" w:line="360" w:lineRule="auto"/>
        <w:ind w:firstLine="420" w:firstLineChars="200"/>
        <w:rPr>
          <w:rFonts w:ascii="宋体" w:hAnsi="宋体"/>
          <w:color w:val="auto"/>
          <w:szCs w:val="21"/>
          <w:u w:val="single"/>
        </w:rPr>
      </w:pPr>
      <w:r>
        <w:rPr>
          <w:rFonts w:hint="eastAsia" w:ascii="宋体" w:hAnsi="宋体"/>
          <w:color w:val="auto"/>
          <w:szCs w:val="21"/>
        </w:rPr>
        <w:t>（3）方式：</w:t>
      </w:r>
      <w:r>
        <w:rPr>
          <w:rFonts w:hint="eastAsia" w:ascii="宋体" w:hAnsi="宋体"/>
          <w:color w:val="auto"/>
          <w:szCs w:val="21"/>
          <w:u w:val="single"/>
        </w:rPr>
        <w:t xml:space="preserve">           /               </w:t>
      </w:r>
    </w:p>
    <w:p w14:paraId="51A7040B">
      <w:pPr>
        <w:adjustRightInd w:val="0"/>
        <w:snapToGrid w:val="0"/>
        <w:spacing w:beforeLines="50" w:line="360" w:lineRule="auto"/>
        <w:ind w:firstLine="420" w:firstLineChars="200"/>
        <w:rPr>
          <w:rFonts w:ascii="宋体" w:hAnsi="宋体"/>
          <w:bCs/>
          <w:color w:val="auto"/>
          <w:szCs w:val="21"/>
          <w:u w:val="single"/>
        </w:rPr>
      </w:pPr>
      <w:r>
        <w:rPr>
          <w:rFonts w:hint="eastAsia" w:ascii="宋体" w:hAnsi="宋体"/>
          <w:bCs/>
          <w:color w:val="auto"/>
          <w:szCs w:val="21"/>
        </w:rPr>
        <w:t xml:space="preserve">（4）履约担保：  </w:t>
      </w:r>
      <w:r>
        <w:rPr>
          <w:rFonts w:hint="eastAsia" w:ascii="宋体" w:hAnsi="宋体"/>
          <w:bCs/>
          <w:color w:val="auto"/>
          <w:szCs w:val="21"/>
          <w:u w:val="single"/>
        </w:rPr>
        <w:t xml:space="preserve">      /    </w:t>
      </w:r>
    </w:p>
    <w:p w14:paraId="304972CC">
      <w:pPr>
        <w:adjustRightInd w:val="0"/>
        <w:snapToGrid w:val="0"/>
        <w:spacing w:beforeLines="50" w:line="360" w:lineRule="auto"/>
        <w:ind w:firstLine="420" w:firstLineChars="200"/>
        <w:rPr>
          <w:rFonts w:ascii="宋体" w:hAnsi="宋体"/>
          <w:bCs/>
          <w:color w:val="auto"/>
          <w:szCs w:val="21"/>
        </w:rPr>
      </w:pPr>
      <w:r>
        <w:rPr>
          <w:rFonts w:hint="eastAsia" w:ascii="宋体" w:hAnsi="宋体"/>
          <w:bCs/>
          <w:color w:val="auto"/>
          <w:szCs w:val="21"/>
        </w:rPr>
        <w:t>（5）质量保证金：</w:t>
      </w:r>
      <w:r>
        <w:rPr>
          <w:rFonts w:hint="eastAsia" w:ascii="宋体" w:hAnsi="宋体"/>
          <w:bCs/>
          <w:color w:val="auto"/>
          <w:szCs w:val="21"/>
          <w:u w:val="single"/>
        </w:rPr>
        <w:t xml:space="preserve"> / </w:t>
      </w:r>
      <w:r>
        <w:rPr>
          <w:rFonts w:hint="eastAsia" w:ascii="宋体" w:hAnsi="宋体"/>
          <w:bCs/>
          <w:color w:val="auto"/>
          <w:szCs w:val="21"/>
        </w:rPr>
        <w:t>。</w:t>
      </w:r>
    </w:p>
    <w:p w14:paraId="3610A916">
      <w:pPr>
        <w:adjustRightInd w:val="0"/>
        <w:snapToGrid w:val="0"/>
        <w:spacing w:beforeLines="50" w:line="360" w:lineRule="auto"/>
        <w:ind w:firstLine="422" w:firstLineChars="200"/>
        <w:rPr>
          <w:rFonts w:ascii="宋体" w:hAnsi="宋体"/>
          <w:b/>
          <w:color w:val="auto"/>
          <w:szCs w:val="21"/>
        </w:rPr>
      </w:pPr>
      <w:r>
        <w:rPr>
          <w:rFonts w:hint="eastAsia" w:ascii="宋体" w:hAnsi="宋体"/>
          <w:b/>
          <w:color w:val="auto"/>
          <w:szCs w:val="21"/>
        </w:rPr>
        <w:t>4.合同验收</w:t>
      </w:r>
    </w:p>
    <w:p w14:paraId="2EC09E82">
      <w:pPr>
        <w:adjustRightInd w:val="0"/>
        <w:snapToGrid w:val="0"/>
        <w:spacing w:beforeLines="50" w:line="360" w:lineRule="auto"/>
        <w:ind w:firstLine="420" w:firstLineChars="200"/>
        <w:rPr>
          <w:rFonts w:ascii="宋体" w:hAnsi="宋体"/>
          <w:bCs/>
          <w:color w:val="auto"/>
          <w:szCs w:val="21"/>
        </w:rPr>
      </w:pPr>
      <w:r>
        <w:rPr>
          <w:rFonts w:hint="eastAsia" w:ascii="宋体" w:hAnsi="宋体"/>
          <w:bCs/>
          <w:color w:val="auto"/>
          <w:szCs w:val="21"/>
        </w:rPr>
        <w:t>（1）验收主体：</w:t>
      </w:r>
      <w:r>
        <w:rPr>
          <w:rFonts w:hint="eastAsia" w:ascii="宋体" w:hAnsi="宋体"/>
          <w:bCs/>
          <w:color w:val="auto"/>
          <w:szCs w:val="21"/>
          <w:u w:val="single"/>
        </w:rPr>
        <w:t>娄底市万宝新区开发投资集团有限公司</w:t>
      </w:r>
      <w:r>
        <w:rPr>
          <w:rFonts w:hint="eastAsia" w:ascii="宋体" w:hAnsi="宋体"/>
          <w:bCs/>
          <w:color w:val="auto"/>
          <w:szCs w:val="21"/>
        </w:rPr>
        <w:t>。</w:t>
      </w:r>
    </w:p>
    <w:p w14:paraId="7B0427D0">
      <w:pPr>
        <w:adjustRightInd w:val="0"/>
        <w:snapToGrid w:val="0"/>
        <w:spacing w:beforeLines="50" w:line="360" w:lineRule="auto"/>
        <w:ind w:firstLine="420" w:firstLineChars="200"/>
        <w:rPr>
          <w:rFonts w:ascii="宋体" w:hAnsi="宋体"/>
          <w:bCs/>
          <w:color w:val="auto"/>
          <w:szCs w:val="21"/>
        </w:rPr>
      </w:pPr>
      <w:r>
        <w:rPr>
          <w:rFonts w:hint="eastAsia" w:ascii="宋体" w:hAnsi="宋体"/>
          <w:bCs/>
          <w:color w:val="auto"/>
          <w:szCs w:val="21"/>
        </w:rPr>
        <w:t>（2）验收方式：</w:t>
      </w:r>
      <w:r>
        <w:rPr>
          <w:rFonts w:hint="eastAsia" w:ascii="宋体" w:hAnsi="宋体"/>
          <w:bCs/>
          <w:color w:val="auto"/>
          <w:szCs w:val="21"/>
          <w:u w:val="single"/>
        </w:rPr>
        <w:t xml:space="preserve">          由委托人组织验收                   </w:t>
      </w:r>
      <w:r>
        <w:rPr>
          <w:rFonts w:hint="eastAsia" w:ascii="宋体" w:hAnsi="宋体"/>
          <w:bCs/>
          <w:color w:val="auto"/>
          <w:szCs w:val="21"/>
        </w:rPr>
        <w:t>。</w:t>
      </w:r>
    </w:p>
    <w:p w14:paraId="553D9B1F">
      <w:pPr>
        <w:adjustRightInd w:val="0"/>
        <w:snapToGrid w:val="0"/>
        <w:spacing w:beforeLines="50" w:line="360" w:lineRule="auto"/>
        <w:ind w:firstLine="420" w:firstLineChars="200"/>
        <w:rPr>
          <w:rFonts w:ascii="宋体" w:hAnsi="宋体"/>
          <w:bCs/>
          <w:color w:val="auto"/>
          <w:szCs w:val="21"/>
        </w:rPr>
      </w:pPr>
      <w:r>
        <w:rPr>
          <w:rFonts w:hint="eastAsia" w:ascii="宋体" w:hAnsi="宋体"/>
          <w:bCs/>
          <w:color w:val="auto"/>
          <w:szCs w:val="21"/>
        </w:rPr>
        <w:t>（3）验收标准：</w:t>
      </w:r>
      <w:r>
        <w:rPr>
          <w:rFonts w:hint="eastAsia" w:ascii="宋体" w:hAnsi="宋体"/>
          <w:bCs/>
          <w:color w:val="auto"/>
          <w:szCs w:val="21"/>
          <w:u w:val="single"/>
        </w:rPr>
        <w:t xml:space="preserve">           符合委托人及行业审核标准                  </w:t>
      </w:r>
      <w:r>
        <w:rPr>
          <w:rFonts w:hint="eastAsia" w:ascii="宋体" w:hAnsi="宋体"/>
          <w:bCs/>
          <w:color w:val="auto"/>
          <w:szCs w:val="21"/>
        </w:rPr>
        <w:t>。</w:t>
      </w:r>
    </w:p>
    <w:p w14:paraId="32B74868">
      <w:pPr>
        <w:adjustRightInd w:val="0"/>
        <w:snapToGrid w:val="0"/>
        <w:spacing w:beforeLines="50" w:line="360" w:lineRule="auto"/>
        <w:ind w:firstLine="422" w:firstLineChars="200"/>
        <w:rPr>
          <w:rFonts w:ascii="宋体" w:hAnsi="宋体"/>
          <w:b/>
          <w:color w:val="auto"/>
          <w:szCs w:val="21"/>
        </w:rPr>
      </w:pPr>
      <w:r>
        <w:rPr>
          <w:rFonts w:hint="eastAsia" w:ascii="宋体" w:hAnsi="宋体"/>
          <w:b/>
          <w:color w:val="auto"/>
          <w:szCs w:val="21"/>
        </w:rPr>
        <w:t>5.组成合同的文件</w:t>
      </w:r>
    </w:p>
    <w:p w14:paraId="63FFC9CE">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6603EA6">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（1）在采购或合同履行过程中乙方作出的承诺以及双方协商达成的变更或补充协议</w:t>
      </w:r>
    </w:p>
    <w:p w14:paraId="338C813C">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（2）本合同协议书</w:t>
      </w:r>
    </w:p>
    <w:p w14:paraId="1B017FAF">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（3）中标通知书</w:t>
      </w:r>
    </w:p>
    <w:p w14:paraId="13321AF2">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（4）投标文件</w:t>
      </w:r>
    </w:p>
    <w:p w14:paraId="536E77BE">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（5）政府采购合同专用条款</w:t>
      </w:r>
    </w:p>
    <w:p w14:paraId="6F43A24F">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（6）政府采购合同通用条款</w:t>
      </w:r>
    </w:p>
    <w:p w14:paraId="6A4519A4">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（7）标准、规范及有关技术文件，图纸。</w:t>
      </w:r>
    </w:p>
    <w:p w14:paraId="3FBB7BDC">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（8）其他合同文件。</w:t>
      </w:r>
    </w:p>
    <w:p w14:paraId="563A1D05">
      <w:pPr>
        <w:adjustRightInd w:val="0"/>
        <w:snapToGrid w:val="0"/>
        <w:spacing w:beforeLines="50" w:line="360" w:lineRule="auto"/>
        <w:ind w:firstLine="310" w:firstLineChars="147"/>
        <w:rPr>
          <w:rFonts w:ascii="宋体" w:hAnsi="宋体"/>
          <w:b/>
          <w:color w:val="auto"/>
          <w:szCs w:val="21"/>
        </w:rPr>
      </w:pPr>
      <w:r>
        <w:rPr>
          <w:rFonts w:hint="eastAsia" w:ascii="宋体" w:hAnsi="宋体"/>
          <w:b/>
          <w:color w:val="auto"/>
          <w:szCs w:val="21"/>
        </w:rPr>
        <w:t>6.合同生效</w:t>
      </w:r>
    </w:p>
    <w:p w14:paraId="2ACEF0CB">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双方签字盖章之日起</w:t>
      </w:r>
      <w:r>
        <w:rPr>
          <w:rFonts w:hint="eastAsia" w:ascii="宋体" w:hAnsi="宋体"/>
          <w:color w:val="auto"/>
          <w:szCs w:val="21"/>
        </w:rPr>
        <w:t>生效。</w:t>
      </w:r>
    </w:p>
    <w:p w14:paraId="1DF80226">
      <w:pPr>
        <w:adjustRightInd w:val="0"/>
        <w:snapToGrid w:val="0"/>
        <w:spacing w:beforeLines="50" w:line="360" w:lineRule="auto"/>
        <w:ind w:firstLine="310" w:firstLineChars="147"/>
        <w:rPr>
          <w:rFonts w:ascii="宋体" w:hAnsi="宋体"/>
          <w:b/>
          <w:color w:val="auto"/>
          <w:szCs w:val="21"/>
        </w:rPr>
      </w:pPr>
      <w:r>
        <w:rPr>
          <w:rFonts w:hint="eastAsia" w:ascii="宋体" w:hAnsi="宋体"/>
          <w:b/>
          <w:color w:val="auto"/>
          <w:szCs w:val="21"/>
        </w:rPr>
        <w:t>7.合同份数</w:t>
      </w:r>
    </w:p>
    <w:p w14:paraId="37FDF4EE">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捌</w:t>
      </w:r>
      <w:r>
        <w:rPr>
          <w:rFonts w:hint="eastAsia" w:ascii="宋体" w:hAnsi="宋体"/>
          <w:color w:val="auto"/>
          <w:szCs w:val="21"/>
        </w:rPr>
        <w:t>份，委托人执</w:t>
      </w:r>
      <w:r>
        <w:rPr>
          <w:rFonts w:hint="eastAsia" w:ascii="宋体" w:hAnsi="宋体"/>
          <w:color w:val="auto"/>
          <w:szCs w:val="21"/>
          <w:u w:val="single"/>
        </w:rPr>
        <w:t>伍</w:t>
      </w:r>
      <w:r>
        <w:rPr>
          <w:rFonts w:hint="eastAsia" w:ascii="宋体" w:hAnsi="宋体"/>
          <w:color w:val="auto"/>
          <w:szCs w:val="21"/>
        </w:rPr>
        <w:t>份，咨询（受托）人执</w:t>
      </w:r>
      <w:r>
        <w:rPr>
          <w:rFonts w:hint="eastAsia" w:ascii="宋体" w:hAnsi="宋体"/>
          <w:color w:val="auto"/>
          <w:szCs w:val="21"/>
          <w:u w:val="single"/>
        </w:rPr>
        <w:t>叁</w:t>
      </w:r>
      <w:r>
        <w:rPr>
          <w:rFonts w:hint="eastAsia" w:ascii="宋体" w:hAnsi="宋体"/>
          <w:color w:val="auto"/>
          <w:szCs w:val="21"/>
        </w:rPr>
        <w:t>份，均具有同等法律效力。</w:t>
      </w:r>
    </w:p>
    <w:p w14:paraId="79CED4D8">
      <w:pPr>
        <w:adjustRightInd w:val="0"/>
        <w:snapToGrid w:val="0"/>
        <w:spacing w:beforeLines="50" w:line="360" w:lineRule="auto"/>
        <w:rPr>
          <w:rFonts w:ascii="宋体" w:hAnsi="宋体"/>
          <w:color w:val="auto"/>
          <w:szCs w:val="21"/>
        </w:rPr>
      </w:pPr>
    </w:p>
    <w:p w14:paraId="332E4364">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4D9C9F9E">
      <w:pPr>
        <w:adjustRightInd w:val="0"/>
        <w:snapToGrid w:val="0"/>
        <w:spacing w:beforeLines="50" w:line="360" w:lineRule="auto"/>
        <w:ind w:firstLine="420" w:firstLineChars="200"/>
        <w:rPr>
          <w:rFonts w:ascii="宋体" w:hAnsi="宋体"/>
          <w:color w:val="auto"/>
          <w:szCs w:val="21"/>
          <w:u w:val="single"/>
        </w:rPr>
      </w:pPr>
      <w:r>
        <w:rPr>
          <w:rFonts w:hint="eastAsia" w:ascii="宋体" w:hAnsi="宋体"/>
          <w:color w:val="auto"/>
          <w:szCs w:val="21"/>
        </w:rPr>
        <w:t>合同订立地点：</w:t>
      </w:r>
      <w:r>
        <w:rPr>
          <w:rFonts w:hint="eastAsia" w:ascii="宋体" w:hAnsi="宋体"/>
          <w:bCs/>
          <w:color w:val="auto"/>
          <w:szCs w:val="21"/>
          <w:u w:val="single"/>
        </w:rPr>
        <w:t>娄底市万宝新区开发投资集团有限公司</w:t>
      </w:r>
    </w:p>
    <w:p w14:paraId="034E9663">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 xml:space="preserve">   </w:t>
      </w:r>
    </w:p>
    <w:p w14:paraId="0AE11AFD">
      <w:pPr>
        <w:pStyle w:val="2"/>
        <w:ind w:firstLine="480"/>
        <w:rPr>
          <w:rFonts w:ascii="宋体" w:hAnsi="宋体"/>
          <w:color w:val="auto"/>
        </w:rPr>
      </w:pPr>
    </w:p>
    <w:p w14:paraId="281110C3">
      <w:pPr>
        <w:pStyle w:val="2"/>
        <w:ind w:firstLine="480"/>
        <w:rPr>
          <w:rFonts w:ascii="宋体" w:hAnsi="宋体"/>
          <w:color w:val="auto"/>
        </w:rPr>
      </w:pPr>
    </w:p>
    <w:p w14:paraId="1A9F1931">
      <w:pPr>
        <w:adjustRightInd w:val="0"/>
        <w:snapToGrid w:val="0"/>
        <w:spacing w:beforeLines="50" w:line="360" w:lineRule="auto"/>
        <w:rPr>
          <w:rFonts w:ascii="宋体" w:hAnsi="宋体"/>
          <w:color w:val="auto"/>
          <w:szCs w:val="21"/>
        </w:rPr>
      </w:pPr>
      <w:r>
        <w:rPr>
          <w:rFonts w:hint="eastAsia" w:ascii="宋体" w:hAnsi="宋体"/>
          <w:color w:val="auto"/>
          <w:szCs w:val="21"/>
        </w:rPr>
        <w:t>甲      方：（公章）                     乙      方：（公章）</w:t>
      </w:r>
    </w:p>
    <w:p w14:paraId="2F6223D8">
      <w:pPr>
        <w:adjustRightInd w:val="0"/>
        <w:snapToGrid w:val="0"/>
        <w:spacing w:beforeLines="50" w:line="360" w:lineRule="auto"/>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 xml:space="preserve">         法定代表人：</w:t>
      </w:r>
      <w:r>
        <w:rPr>
          <w:rFonts w:hint="eastAsia" w:ascii="宋体" w:hAnsi="宋体"/>
          <w:color w:val="auto"/>
          <w:szCs w:val="21"/>
          <w:u w:val="single"/>
        </w:rPr>
        <w:t xml:space="preserve">                   </w:t>
      </w:r>
    </w:p>
    <w:p w14:paraId="1361E59B">
      <w:pPr>
        <w:adjustRightInd w:val="0"/>
        <w:snapToGrid w:val="0"/>
        <w:spacing w:beforeLines="50" w:line="360" w:lineRule="auto"/>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 xml:space="preserve">         委托代理人：</w:t>
      </w:r>
      <w:r>
        <w:rPr>
          <w:rFonts w:hint="eastAsia" w:ascii="宋体" w:hAnsi="宋体"/>
          <w:color w:val="auto"/>
          <w:szCs w:val="21"/>
          <w:u w:val="single"/>
        </w:rPr>
        <w:t xml:space="preserve">                   </w:t>
      </w:r>
    </w:p>
    <w:p w14:paraId="491B3B74">
      <w:pPr>
        <w:adjustRightInd w:val="0"/>
        <w:snapToGrid w:val="0"/>
        <w:spacing w:beforeLines="50" w:line="360" w:lineRule="auto"/>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电      话：</w:t>
      </w:r>
      <w:r>
        <w:rPr>
          <w:rFonts w:hint="eastAsia" w:ascii="宋体" w:hAnsi="宋体"/>
          <w:color w:val="auto"/>
          <w:szCs w:val="21"/>
          <w:u w:val="single"/>
        </w:rPr>
        <w:t xml:space="preserve">                   </w:t>
      </w:r>
    </w:p>
    <w:p w14:paraId="399DE49E">
      <w:pPr>
        <w:adjustRightInd w:val="0"/>
        <w:snapToGrid w:val="0"/>
        <w:spacing w:beforeLines="50" w:line="360" w:lineRule="auto"/>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rPr>
        <w:t xml:space="preserve">         传      真：</w:t>
      </w:r>
      <w:r>
        <w:rPr>
          <w:rFonts w:hint="eastAsia" w:ascii="宋体" w:hAnsi="宋体"/>
          <w:color w:val="auto"/>
          <w:szCs w:val="21"/>
          <w:u w:val="single"/>
        </w:rPr>
        <w:t xml:space="preserve">                   </w:t>
      </w:r>
    </w:p>
    <w:p w14:paraId="04674213">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 xml:space="preserve">                                    开 户 银 行：</w:t>
      </w:r>
      <w:r>
        <w:rPr>
          <w:rFonts w:hint="eastAsia" w:ascii="宋体" w:hAnsi="宋体"/>
          <w:color w:val="auto"/>
          <w:szCs w:val="21"/>
          <w:u w:val="single"/>
        </w:rPr>
        <w:t xml:space="preserve">                   </w:t>
      </w:r>
    </w:p>
    <w:p w14:paraId="595C00AB">
      <w:pPr>
        <w:adjustRightInd w:val="0"/>
        <w:snapToGrid w:val="0"/>
        <w:spacing w:beforeLines="50" w:line="360" w:lineRule="auto"/>
        <w:jc w:val="center"/>
        <w:rPr>
          <w:rFonts w:ascii="宋体" w:hAnsi="宋体"/>
          <w:b/>
          <w:color w:val="auto"/>
          <w:szCs w:val="21"/>
        </w:rPr>
      </w:pPr>
      <w:r>
        <w:rPr>
          <w:rFonts w:hint="eastAsia" w:ascii="宋体" w:hAnsi="宋体"/>
          <w:color w:val="auto"/>
          <w:szCs w:val="21"/>
        </w:rPr>
        <w:t xml:space="preserve">         账       号：</w:t>
      </w:r>
      <w:r>
        <w:rPr>
          <w:rFonts w:hint="eastAsia" w:ascii="宋体" w:hAnsi="宋体"/>
          <w:color w:val="auto"/>
          <w:szCs w:val="21"/>
          <w:u w:val="single"/>
        </w:rPr>
        <w:t xml:space="preserve">                   </w:t>
      </w:r>
    </w:p>
    <w:p w14:paraId="10955B19">
      <w:pPr>
        <w:rPr>
          <w:color w:val="auto"/>
        </w:rPr>
      </w:pPr>
    </w:p>
    <w:p w14:paraId="4B51643D">
      <w:pPr>
        <w:rPr>
          <w:color w:val="auto"/>
        </w:rPr>
      </w:pPr>
    </w:p>
    <w:p w14:paraId="032C979E">
      <w:pPr>
        <w:rPr>
          <w:color w:val="auto"/>
        </w:rPr>
      </w:pPr>
    </w:p>
    <w:p w14:paraId="2A9EE365">
      <w:pPr>
        <w:spacing w:afterLines="50" w:line="360" w:lineRule="exact"/>
        <w:jc w:val="center"/>
        <w:rPr>
          <w:rFonts w:ascii="宋体" w:hAnsi="宋体" w:cs="宋体"/>
          <w:b/>
          <w:color w:val="auto"/>
          <w:szCs w:val="21"/>
        </w:rPr>
      </w:pPr>
      <w:bookmarkStart w:id="76" w:name="_Toc306261505"/>
    </w:p>
    <w:p w14:paraId="2E40EAE4">
      <w:pPr>
        <w:spacing w:afterLines="50" w:line="360" w:lineRule="exact"/>
        <w:jc w:val="center"/>
        <w:rPr>
          <w:rFonts w:ascii="宋体" w:hAnsi="宋体" w:cs="宋体"/>
          <w:b/>
          <w:color w:val="auto"/>
          <w:szCs w:val="21"/>
        </w:rPr>
      </w:pPr>
    </w:p>
    <w:p w14:paraId="79B059E0">
      <w:pPr>
        <w:pStyle w:val="2"/>
        <w:ind w:firstLine="480"/>
        <w:rPr>
          <w:color w:val="auto"/>
        </w:rPr>
      </w:pPr>
    </w:p>
    <w:p w14:paraId="468E87E2">
      <w:pPr>
        <w:spacing w:afterLines="50" w:line="360" w:lineRule="exact"/>
        <w:jc w:val="center"/>
        <w:rPr>
          <w:rFonts w:ascii="宋体" w:hAnsi="宋体" w:cs="宋体"/>
          <w:b/>
          <w:color w:val="auto"/>
          <w:szCs w:val="21"/>
        </w:rPr>
      </w:pPr>
      <w:r>
        <w:rPr>
          <w:rFonts w:hint="eastAsia" w:ascii="宋体" w:hAnsi="宋体" w:cs="宋体"/>
          <w:b/>
          <w:color w:val="auto"/>
          <w:szCs w:val="21"/>
        </w:rPr>
        <w:t>第二部分  建设工程造价咨询合同标准条件</w:t>
      </w:r>
      <w:bookmarkEnd w:id="76"/>
    </w:p>
    <w:p w14:paraId="1BA394CE">
      <w:pPr>
        <w:spacing w:beforeLines="100" w:afterLines="100" w:line="360" w:lineRule="exact"/>
        <w:jc w:val="center"/>
        <w:rPr>
          <w:rFonts w:ascii="宋体" w:hAnsi="宋体" w:cs="宋体"/>
          <w:b/>
          <w:color w:val="auto"/>
          <w:szCs w:val="21"/>
        </w:rPr>
      </w:pPr>
      <w:r>
        <w:rPr>
          <w:rFonts w:hint="eastAsia" w:ascii="宋体" w:hAnsi="宋体" w:cs="宋体"/>
          <w:b/>
          <w:color w:val="auto"/>
          <w:szCs w:val="21"/>
        </w:rPr>
        <w:t>词语定义、适用语言和法律、法规</w:t>
      </w:r>
    </w:p>
    <w:p w14:paraId="34ECD081">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第一条</w:t>
      </w:r>
      <w:r>
        <w:rPr>
          <w:rFonts w:hint="eastAsia" w:ascii="宋体" w:hAnsi="宋体" w:cs="宋体"/>
          <w:color w:val="auto"/>
          <w:szCs w:val="21"/>
        </w:rPr>
        <w:t xml:space="preserve">  下列名词和用语，除上下文另有规定外具有如下含义。</w:t>
      </w:r>
    </w:p>
    <w:p w14:paraId="63CC6F67">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1．“委托人”是指委托建设工程造价咨询业务和聘用工程造价咨询单位的一方，以及其合法继承人。</w:t>
      </w:r>
    </w:p>
    <w:p w14:paraId="0103873F">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2．“咨询（受托）人”是指承担建设工程造价咨询业务和工程造价咨询责任的一方，以及其合法继承人。</w:t>
      </w:r>
    </w:p>
    <w:p w14:paraId="771C3775">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3．“第三人”是指除委托人、咨询（受托）人以外与本咨询业务有关的当事人。</w:t>
      </w:r>
    </w:p>
    <w:p w14:paraId="3291F933">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4．“日”是指任何一天零时至第二天零时的时间段。</w:t>
      </w:r>
    </w:p>
    <w:p w14:paraId="06649D5E">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第二条</w:t>
      </w:r>
      <w:r>
        <w:rPr>
          <w:rFonts w:hint="eastAsia" w:ascii="宋体" w:hAnsi="宋体" w:cs="宋体"/>
          <w:color w:val="auto"/>
          <w:szCs w:val="21"/>
        </w:rPr>
        <w:t xml:space="preserve">  建设工程造价咨询合同适用的是中国的法律、法规、以及专用条件中议定的部门规章、工程造价有关计价办法和规定或项目所在地的地方法规、地方规章。</w:t>
      </w:r>
    </w:p>
    <w:p w14:paraId="17782D94">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 xml:space="preserve">第三条 </w:t>
      </w:r>
      <w:r>
        <w:rPr>
          <w:rFonts w:hint="eastAsia" w:ascii="宋体" w:hAnsi="宋体" w:cs="宋体"/>
          <w:color w:val="auto"/>
          <w:szCs w:val="21"/>
        </w:rPr>
        <w:t xml:space="preserve"> 建设工程造价咨询合同的书写、解释和说明，以汉语为主导语言。当不同语言文本发生不同解释时，以汉语合同文本为准。</w:t>
      </w:r>
    </w:p>
    <w:p w14:paraId="6D2DE699">
      <w:pPr>
        <w:spacing w:beforeLines="100" w:afterLines="100" w:line="420" w:lineRule="exact"/>
        <w:jc w:val="center"/>
        <w:rPr>
          <w:rFonts w:ascii="宋体" w:hAnsi="宋体" w:cs="宋体"/>
          <w:b/>
          <w:color w:val="auto"/>
          <w:szCs w:val="21"/>
        </w:rPr>
      </w:pPr>
      <w:r>
        <w:rPr>
          <w:rFonts w:hint="eastAsia" w:ascii="宋体" w:hAnsi="宋体" w:cs="宋体"/>
          <w:b/>
          <w:color w:val="auto"/>
          <w:szCs w:val="21"/>
        </w:rPr>
        <w:t>咨询（受托）人的义务</w:t>
      </w:r>
    </w:p>
    <w:p w14:paraId="5D20CEC9">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第四条</w:t>
      </w:r>
      <w:r>
        <w:rPr>
          <w:rFonts w:hint="eastAsia" w:ascii="宋体" w:hAnsi="宋体" w:cs="宋体"/>
          <w:color w:val="auto"/>
          <w:szCs w:val="21"/>
        </w:rPr>
        <w:t xml:space="preserve">  向委托人提供与建设工程造价咨询业务有关的资料，包括工程造价咨询的资质证书及承担本合同业务的专业人员名单、工作计划等，并按合同专用条件中约定的范围实施咨询业务。</w:t>
      </w:r>
    </w:p>
    <w:p w14:paraId="7F2CC3C9">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第五条</w:t>
      </w:r>
      <w:r>
        <w:rPr>
          <w:rFonts w:hint="eastAsia" w:ascii="宋体" w:hAnsi="宋体" w:cs="宋体"/>
          <w:color w:val="auto"/>
          <w:szCs w:val="21"/>
        </w:rPr>
        <w:t xml:space="preserve">  咨询（受托）人在履行本合同期间，向委托人提供的服务包括正常服务、附加服务和额外服务。</w:t>
      </w:r>
    </w:p>
    <w:p w14:paraId="13741C58">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1．“正常服务”是指双方在专用条件中约定的建设工程造价咨询工作；</w:t>
      </w:r>
    </w:p>
    <w:p w14:paraId="490201A1">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2．“附加服务”是指在“正常服务”以外，经双方书面协议确定的附加服务；</w:t>
      </w:r>
    </w:p>
    <w:p w14:paraId="728ED7A2">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3．“额外服务”是指不属于“正常服务”和“附加服务”，但根据合同标准条件第十三条、第二十条和二十二条的规定，咨询（受托）人应增加的额外工作量。</w:t>
      </w:r>
    </w:p>
    <w:p w14:paraId="619DBD1A">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第六条</w:t>
      </w:r>
      <w:r>
        <w:rPr>
          <w:rFonts w:hint="eastAsia" w:ascii="宋体" w:hAnsi="宋体" w:cs="宋体"/>
          <w:color w:val="auto"/>
          <w:szCs w:val="21"/>
        </w:rPr>
        <w:t xml:space="preserve">  在履行合同期间或合同规定期限内，不得泄露与本合同规定业务活动有关的保密资料。详见专用条款。</w:t>
      </w:r>
    </w:p>
    <w:p w14:paraId="35F33775">
      <w:pPr>
        <w:spacing w:beforeLines="100" w:afterLines="100" w:line="420" w:lineRule="exact"/>
        <w:jc w:val="center"/>
        <w:rPr>
          <w:rFonts w:ascii="宋体" w:hAnsi="宋体" w:cs="宋体"/>
          <w:b/>
          <w:color w:val="auto"/>
          <w:szCs w:val="21"/>
        </w:rPr>
      </w:pPr>
      <w:r>
        <w:rPr>
          <w:rFonts w:hint="eastAsia" w:ascii="宋体" w:hAnsi="宋体" w:cs="宋体"/>
          <w:b/>
          <w:color w:val="auto"/>
          <w:szCs w:val="21"/>
        </w:rPr>
        <w:t>委托人的义务</w:t>
      </w:r>
    </w:p>
    <w:p w14:paraId="60BEA2B6">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第七条</w:t>
      </w:r>
      <w:r>
        <w:rPr>
          <w:rFonts w:hint="eastAsia" w:ascii="宋体" w:hAnsi="宋体" w:cs="宋体"/>
          <w:color w:val="auto"/>
          <w:szCs w:val="21"/>
        </w:rPr>
        <w:t xml:space="preserve">  委托人负责与本建设工程造价咨询业务有关的第三人的协调，为咨询（受托）人工作提供外部条件。</w:t>
      </w:r>
    </w:p>
    <w:p w14:paraId="6E3D9CE7">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第八条</w:t>
      </w:r>
      <w:r>
        <w:rPr>
          <w:rFonts w:hint="eastAsia" w:ascii="宋体" w:hAnsi="宋体" w:cs="宋体"/>
          <w:color w:val="auto"/>
          <w:szCs w:val="21"/>
        </w:rPr>
        <w:t xml:space="preserve">  委托人应当在约定的时间内，免费向咨询（受托）人提供与本项目建设工程造价咨询业务有关的资料。</w:t>
      </w:r>
    </w:p>
    <w:p w14:paraId="12C5A998">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第九条</w:t>
      </w:r>
      <w:r>
        <w:rPr>
          <w:rFonts w:hint="eastAsia" w:ascii="宋体" w:hAnsi="宋体" w:cs="宋体"/>
          <w:color w:val="auto"/>
          <w:szCs w:val="21"/>
        </w:rPr>
        <w:t xml:space="preserve">  委托人应当在约定的时间内就咨询（受托）人书面提交并要求做出答复的事宜做出书面答复。咨询（受托）人要求第三人提供有关资料时，委托人或建设单位应负责转达及资料转送。</w:t>
      </w:r>
    </w:p>
    <w:p w14:paraId="345DE5E4">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第十条</w:t>
      </w:r>
      <w:r>
        <w:rPr>
          <w:rFonts w:hint="eastAsia" w:ascii="宋体" w:hAnsi="宋体" w:cs="宋体"/>
          <w:color w:val="auto"/>
          <w:szCs w:val="21"/>
        </w:rPr>
        <w:t xml:space="preserve">  委托人应当授权胜任本建设工程造价咨询业务的代表，负责与咨询（受托）人联系。 </w:t>
      </w:r>
    </w:p>
    <w:p w14:paraId="7AC73DE4">
      <w:pPr>
        <w:spacing w:beforeLines="100" w:afterLines="100" w:line="420" w:lineRule="exact"/>
        <w:jc w:val="center"/>
        <w:rPr>
          <w:rFonts w:ascii="宋体" w:hAnsi="宋体" w:cs="宋体"/>
          <w:b/>
          <w:color w:val="auto"/>
          <w:szCs w:val="21"/>
        </w:rPr>
      </w:pPr>
      <w:r>
        <w:rPr>
          <w:rFonts w:hint="eastAsia" w:ascii="宋体" w:hAnsi="宋体" w:cs="宋体"/>
          <w:b/>
          <w:color w:val="auto"/>
          <w:szCs w:val="21"/>
        </w:rPr>
        <w:t>咨询（受托）人的权利</w:t>
      </w:r>
    </w:p>
    <w:p w14:paraId="6EC47A0D">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 xml:space="preserve">第十一条 </w:t>
      </w:r>
      <w:r>
        <w:rPr>
          <w:rFonts w:hint="eastAsia" w:ascii="宋体" w:hAnsi="宋体" w:cs="宋体"/>
          <w:color w:val="auto"/>
          <w:szCs w:val="21"/>
        </w:rPr>
        <w:t xml:space="preserve"> 委托人在委托的建设工程造价咨询业务范围内，授予咨询（受托）人以下权利：</w:t>
      </w:r>
    </w:p>
    <w:p w14:paraId="07ADC634">
      <w:pPr>
        <w:spacing w:afterLines="50" w:line="420" w:lineRule="exact"/>
        <w:ind w:firstLine="420" w:firstLineChars="200"/>
        <w:jc w:val="left"/>
        <w:rPr>
          <w:rFonts w:ascii="宋体" w:hAnsi="宋体" w:cs="宋体"/>
          <w:color w:val="auto"/>
          <w:szCs w:val="21"/>
        </w:rPr>
      </w:pPr>
      <w:r>
        <w:rPr>
          <w:rFonts w:hint="eastAsia" w:ascii="宋体" w:hAnsi="宋体" w:cs="宋体"/>
          <w:color w:val="auto"/>
          <w:szCs w:val="21"/>
        </w:rPr>
        <w:t>1．咨询（受托）人在咨询过程中，如委托人提供的资料不明确时可向委托人提出书面报告。</w:t>
      </w:r>
    </w:p>
    <w:p w14:paraId="008D052B">
      <w:pPr>
        <w:spacing w:afterLines="50" w:line="420" w:lineRule="exact"/>
        <w:ind w:firstLine="420" w:firstLineChars="200"/>
        <w:jc w:val="left"/>
        <w:rPr>
          <w:rFonts w:ascii="宋体" w:hAnsi="宋体" w:cs="宋体"/>
          <w:color w:val="auto"/>
          <w:szCs w:val="21"/>
        </w:rPr>
      </w:pPr>
      <w:r>
        <w:rPr>
          <w:rFonts w:hint="eastAsia" w:ascii="宋体" w:hAnsi="宋体" w:cs="宋体"/>
          <w:color w:val="auto"/>
          <w:szCs w:val="21"/>
        </w:rPr>
        <w:t>2． 咨询（受托）人在咨询过程中，有权对第三人提出与本咨询业务有关的问题进行核对或查问。</w:t>
      </w:r>
    </w:p>
    <w:p w14:paraId="69923C85">
      <w:pPr>
        <w:spacing w:afterLines="50" w:line="420" w:lineRule="exact"/>
        <w:ind w:firstLine="420" w:firstLineChars="200"/>
        <w:jc w:val="left"/>
        <w:rPr>
          <w:rFonts w:ascii="宋体" w:hAnsi="宋体" w:cs="宋体"/>
          <w:color w:val="auto"/>
          <w:szCs w:val="21"/>
        </w:rPr>
      </w:pPr>
      <w:r>
        <w:rPr>
          <w:rFonts w:hint="eastAsia" w:ascii="宋体" w:hAnsi="宋体" w:cs="宋体"/>
          <w:color w:val="auto"/>
          <w:szCs w:val="21"/>
        </w:rPr>
        <w:t>3．咨询（受托）人在咨询过程中，有到工程现场勘察的权利。</w:t>
      </w:r>
    </w:p>
    <w:p w14:paraId="439C0EE6">
      <w:pPr>
        <w:spacing w:beforeLines="100" w:afterLines="100" w:line="420" w:lineRule="exact"/>
        <w:jc w:val="center"/>
        <w:rPr>
          <w:rFonts w:ascii="宋体" w:hAnsi="宋体" w:cs="宋体"/>
          <w:b/>
          <w:color w:val="auto"/>
          <w:szCs w:val="21"/>
        </w:rPr>
      </w:pPr>
      <w:r>
        <w:rPr>
          <w:rFonts w:hint="eastAsia" w:ascii="宋体" w:hAnsi="宋体" w:cs="宋体"/>
          <w:b/>
          <w:color w:val="auto"/>
          <w:szCs w:val="21"/>
        </w:rPr>
        <w:t>委托人的权利</w:t>
      </w:r>
    </w:p>
    <w:p w14:paraId="252ED612">
      <w:pPr>
        <w:spacing w:afterLines="50" w:line="420" w:lineRule="exact"/>
        <w:ind w:firstLine="422" w:firstLineChars="200"/>
        <w:rPr>
          <w:rFonts w:ascii="宋体" w:hAnsi="宋体" w:cs="宋体"/>
          <w:b/>
          <w:color w:val="auto"/>
          <w:szCs w:val="21"/>
        </w:rPr>
      </w:pPr>
      <w:r>
        <w:rPr>
          <w:rFonts w:hint="eastAsia" w:ascii="宋体" w:hAnsi="宋体" w:cs="宋体"/>
          <w:b/>
          <w:color w:val="auto"/>
          <w:szCs w:val="21"/>
        </w:rPr>
        <w:t>第十二条</w:t>
      </w:r>
      <w:r>
        <w:rPr>
          <w:rFonts w:hint="eastAsia" w:ascii="宋体" w:hAnsi="宋体" w:cs="宋体"/>
          <w:color w:val="auto"/>
          <w:szCs w:val="21"/>
        </w:rPr>
        <w:t xml:space="preserve">  委托人有下列权利：</w:t>
      </w:r>
    </w:p>
    <w:p w14:paraId="558B067B">
      <w:pPr>
        <w:spacing w:afterLines="50" w:line="420" w:lineRule="exact"/>
        <w:ind w:firstLine="420" w:firstLineChars="200"/>
        <w:jc w:val="left"/>
        <w:rPr>
          <w:rFonts w:ascii="宋体" w:hAnsi="宋体" w:cs="宋体"/>
          <w:color w:val="auto"/>
          <w:szCs w:val="21"/>
        </w:rPr>
      </w:pPr>
      <w:r>
        <w:rPr>
          <w:rFonts w:hint="eastAsia" w:ascii="宋体" w:hAnsi="宋体" w:cs="宋体"/>
          <w:color w:val="auto"/>
          <w:szCs w:val="21"/>
        </w:rPr>
        <w:t>1．委托人有权向咨询（受托）人询问工作进展情况及相关的内容。</w:t>
      </w:r>
    </w:p>
    <w:p w14:paraId="1A17C2A7">
      <w:pPr>
        <w:spacing w:afterLines="50" w:line="420" w:lineRule="exact"/>
        <w:ind w:firstLine="420" w:firstLineChars="200"/>
        <w:jc w:val="left"/>
        <w:rPr>
          <w:rFonts w:ascii="宋体" w:hAnsi="宋体" w:cs="宋体"/>
          <w:color w:val="auto"/>
          <w:szCs w:val="21"/>
        </w:rPr>
      </w:pPr>
      <w:r>
        <w:rPr>
          <w:rFonts w:hint="eastAsia" w:ascii="宋体" w:hAnsi="宋体" w:cs="宋体"/>
          <w:color w:val="auto"/>
          <w:szCs w:val="21"/>
        </w:rPr>
        <w:t>2．委托人有权阐述对具体问题的意见和建议。</w:t>
      </w:r>
    </w:p>
    <w:p w14:paraId="244398E1">
      <w:pPr>
        <w:spacing w:afterLines="50" w:line="420" w:lineRule="exact"/>
        <w:ind w:firstLine="420" w:firstLineChars="200"/>
        <w:jc w:val="left"/>
        <w:rPr>
          <w:rFonts w:ascii="宋体" w:hAnsi="宋体" w:cs="宋体"/>
          <w:color w:val="auto"/>
          <w:szCs w:val="21"/>
        </w:rPr>
      </w:pPr>
      <w:r>
        <w:rPr>
          <w:rFonts w:hint="eastAsia" w:ascii="宋体" w:hAnsi="宋体" w:cs="宋体"/>
          <w:color w:val="auto"/>
          <w:szCs w:val="21"/>
        </w:rPr>
        <w:t>3．当委托人认定咨询专业人员不按建设工程造价咨询合同履行其职责，或与第三人串通给委托人造成经济损失的，委托人有权要求更换咨询专业人员，直至终止合同并要求咨询（受托）人承担相应的赔偿责任。</w:t>
      </w:r>
    </w:p>
    <w:p w14:paraId="47CDAD31">
      <w:pPr>
        <w:spacing w:beforeLines="100" w:afterLines="100" w:line="420" w:lineRule="exact"/>
        <w:jc w:val="center"/>
        <w:rPr>
          <w:rFonts w:ascii="宋体" w:hAnsi="宋体" w:cs="宋体"/>
          <w:b/>
          <w:color w:val="auto"/>
          <w:szCs w:val="21"/>
        </w:rPr>
      </w:pPr>
      <w:r>
        <w:rPr>
          <w:rFonts w:hint="eastAsia" w:ascii="宋体" w:hAnsi="宋体" w:cs="宋体"/>
          <w:b/>
          <w:color w:val="auto"/>
          <w:szCs w:val="21"/>
        </w:rPr>
        <w:t>咨询（受托）人的责任</w:t>
      </w:r>
    </w:p>
    <w:p w14:paraId="18A5CA59">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第十三条</w:t>
      </w:r>
      <w:r>
        <w:rPr>
          <w:rFonts w:hint="eastAsia" w:ascii="宋体" w:hAnsi="宋体" w:cs="宋体"/>
          <w:color w:val="auto"/>
          <w:szCs w:val="21"/>
        </w:rPr>
        <w:t xml:space="preserve">  咨询（受托）人的责任期即建设工程造价咨询合同有效期。如因非咨询（受托）人的责任造成进度的推迟或延误而超过约定的日期，双方应进一步约定相应延长合同有效期。</w:t>
      </w:r>
    </w:p>
    <w:p w14:paraId="4113D7D1">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第十四条</w:t>
      </w:r>
      <w:r>
        <w:rPr>
          <w:rFonts w:hint="eastAsia" w:ascii="宋体" w:hAnsi="宋体" w:cs="宋体"/>
          <w:color w:val="auto"/>
          <w:szCs w:val="21"/>
        </w:rPr>
        <w:t xml:space="preserve">  咨询（受托）人责任期内，应当履行建设工程造价咨询合同中约定的义务，因咨询（受托）人的单方过失造成的经济损失，应当向委托人进行赔偿。累计赔偿总额不应超过建设工程造价咨询酬金总额（除去税金）。</w:t>
      </w:r>
    </w:p>
    <w:p w14:paraId="30F147EC">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第十五条</w:t>
      </w:r>
      <w:r>
        <w:rPr>
          <w:rFonts w:hint="eastAsia" w:ascii="宋体" w:hAnsi="宋体" w:cs="宋体"/>
          <w:color w:val="auto"/>
          <w:szCs w:val="21"/>
        </w:rPr>
        <w:t xml:space="preserve">  咨询（受托）人对委托人或第三人所提出的问题不能及时核对或答复，导致合同不能全部或部分履行，咨询（受托）人应承担责任。</w:t>
      </w:r>
    </w:p>
    <w:p w14:paraId="33F26E70">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第十六条</w:t>
      </w:r>
      <w:r>
        <w:rPr>
          <w:rFonts w:hint="eastAsia" w:ascii="宋体" w:hAnsi="宋体" w:cs="宋体"/>
          <w:color w:val="auto"/>
          <w:szCs w:val="21"/>
        </w:rPr>
        <w:t xml:space="preserve">  咨询（受托）人向委托人提出赔偿要求不能成立时，则应补偿由于该赔偿或其他要求所导致委托人的各种费用的支出。</w:t>
      </w:r>
    </w:p>
    <w:p w14:paraId="52C8C960">
      <w:pPr>
        <w:spacing w:beforeLines="100" w:afterLines="100" w:line="420" w:lineRule="exact"/>
        <w:jc w:val="center"/>
        <w:rPr>
          <w:rFonts w:ascii="宋体" w:hAnsi="宋体" w:cs="宋体"/>
          <w:b/>
          <w:color w:val="auto"/>
          <w:szCs w:val="21"/>
        </w:rPr>
      </w:pPr>
      <w:r>
        <w:rPr>
          <w:rFonts w:hint="eastAsia" w:ascii="宋体" w:hAnsi="宋体" w:cs="宋体"/>
          <w:b/>
          <w:color w:val="auto"/>
          <w:szCs w:val="21"/>
        </w:rPr>
        <w:t>委托人的责任</w:t>
      </w:r>
    </w:p>
    <w:p w14:paraId="362D5476">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第十七条</w:t>
      </w:r>
      <w:r>
        <w:rPr>
          <w:rFonts w:hint="eastAsia" w:ascii="宋体" w:hAnsi="宋体" w:cs="宋体"/>
          <w:color w:val="auto"/>
          <w:szCs w:val="21"/>
        </w:rPr>
        <w:t xml:space="preserve">  委托人应当履行建设工程造价咨询合同约定的义务，如有违反则应当承担违约责任，赔偿给咨询（受托）人造成的损失。</w:t>
      </w:r>
    </w:p>
    <w:p w14:paraId="5BE060DC">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第十八条</w:t>
      </w:r>
      <w:r>
        <w:rPr>
          <w:rFonts w:hint="eastAsia" w:ascii="宋体" w:hAnsi="宋体" w:cs="宋体"/>
          <w:color w:val="auto"/>
          <w:szCs w:val="21"/>
        </w:rPr>
        <w:t xml:space="preserve">  委托人如果向咨询（受托）人提出赔偿或其他要求不能成立时，则应补偿由于该赔偿或其他要求所导致咨询（受托）人的各种费用的支出。</w:t>
      </w:r>
    </w:p>
    <w:p w14:paraId="2AB1B5DE">
      <w:pPr>
        <w:spacing w:beforeLines="100" w:afterLines="100" w:line="420" w:lineRule="exact"/>
        <w:jc w:val="center"/>
        <w:rPr>
          <w:rFonts w:ascii="宋体" w:hAnsi="宋体" w:cs="宋体"/>
          <w:b/>
          <w:color w:val="auto"/>
          <w:szCs w:val="21"/>
        </w:rPr>
      </w:pPr>
      <w:r>
        <w:rPr>
          <w:rFonts w:hint="eastAsia" w:ascii="宋体" w:hAnsi="宋体" w:cs="宋体"/>
          <w:b/>
          <w:color w:val="auto"/>
          <w:szCs w:val="21"/>
        </w:rPr>
        <w:t>合同生效，变更与终止</w:t>
      </w:r>
    </w:p>
    <w:p w14:paraId="695C3519">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第十九条</w:t>
      </w:r>
      <w:r>
        <w:rPr>
          <w:rFonts w:hint="eastAsia" w:ascii="宋体" w:hAnsi="宋体" w:cs="宋体"/>
          <w:color w:val="auto"/>
          <w:szCs w:val="21"/>
        </w:rPr>
        <w:t xml:space="preserve">  本合同自双方签字盖章之日起生效。</w:t>
      </w:r>
    </w:p>
    <w:p w14:paraId="21C9E5C4">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第二十条</w:t>
      </w:r>
      <w:r>
        <w:rPr>
          <w:rFonts w:hint="eastAsia" w:ascii="宋体" w:hAnsi="宋体" w:cs="宋体"/>
          <w:color w:val="auto"/>
          <w:szCs w:val="21"/>
        </w:rPr>
        <w:t xml:space="preserve">  由于委托人或第三人的原因使咨询（受托）人工作受到阻碍或延误以致增加了工作量或持续时间，则咨询（受托）人应当将此情况与可能产生的影响及时书面通知委托人。由此增加的工作量视为额外服务，完成建设工程造价咨询工作的时间应当相应延长，并得到额外的酬金。</w:t>
      </w:r>
    </w:p>
    <w:p w14:paraId="3EC9EC48">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第二十一条</w:t>
      </w:r>
      <w:r>
        <w:rPr>
          <w:rFonts w:hint="eastAsia" w:ascii="宋体" w:hAnsi="宋体" w:cs="宋体"/>
          <w:color w:val="auto"/>
          <w:szCs w:val="21"/>
        </w:rPr>
        <w:t xml:space="preserve">  当事人一方要求变更或解除合同时，则应当在3日前通知对方；因变更或解除合同使一方遭受损失的，应由责任方负责赔偿。</w:t>
      </w:r>
    </w:p>
    <w:p w14:paraId="09438B34">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第二十二条</w:t>
      </w:r>
      <w:r>
        <w:rPr>
          <w:rFonts w:hint="eastAsia" w:ascii="宋体" w:hAnsi="宋体" w:cs="宋体"/>
          <w:color w:val="auto"/>
          <w:szCs w:val="21"/>
        </w:rPr>
        <w:t xml:space="preserve">  咨询（受托）人由于非自身原因暂停或终止执行建设工程造价咨询业务，由此而增加的恢复执行建设工程造价咨询业务的工作，应视为额外服务，有权得到额外的时间和酬金。</w:t>
      </w:r>
    </w:p>
    <w:p w14:paraId="15145684">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第二十三条</w:t>
      </w:r>
      <w:r>
        <w:rPr>
          <w:rFonts w:hint="eastAsia" w:ascii="宋体" w:hAnsi="宋体" w:cs="宋体"/>
          <w:color w:val="auto"/>
          <w:szCs w:val="21"/>
        </w:rPr>
        <w:t xml:space="preserve">  变更或解除合同的通知或协议应当采取书面形式，新的协议未达成之前，原合同仍然有效。</w:t>
      </w:r>
    </w:p>
    <w:p w14:paraId="199CF95B">
      <w:pPr>
        <w:spacing w:beforeLines="100" w:afterLines="100" w:line="420" w:lineRule="exact"/>
        <w:jc w:val="center"/>
        <w:rPr>
          <w:rFonts w:ascii="宋体" w:hAnsi="宋体" w:cs="宋体"/>
          <w:b/>
          <w:color w:val="auto"/>
          <w:szCs w:val="21"/>
        </w:rPr>
      </w:pPr>
      <w:r>
        <w:rPr>
          <w:rFonts w:hint="eastAsia" w:ascii="宋体" w:hAnsi="宋体" w:cs="宋体"/>
          <w:b/>
          <w:color w:val="auto"/>
          <w:szCs w:val="21"/>
        </w:rPr>
        <w:t>咨询业务的酬金</w:t>
      </w:r>
    </w:p>
    <w:p w14:paraId="0E88C2F0">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第二十四条</w:t>
      </w:r>
      <w:r>
        <w:rPr>
          <w:rFonts w:hint="eastAsia" w:ascii="宋体" w:hAnsi="宋体" w:cs="宋体"/>
          <w:color w:val="auto"/>
          <w:szCs w:val="21"/>
        </w:rPr>
        <w:t xml:space="preserve">  正常的建设工程造价咨询业务，附加工作和额外工作的酬金，按照建设工程造价咨询合同专用条件约定的方法计取，并按约定的时间和数额支付。</w:t>
      </w:r>
    </w:p>
    <w:p w14:paraId="774A46C2">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第二十五条</w:t>
      </w:r>
      <w:r>
        <w:rPr>
          <w:rFonts w:hint="eastAsia" w:ascii="宋体" w:hAnsi="宋体" w:cs="宋体"/>
          <w:color w:val="auto"/>
          <w:szCs w:val="21"/>
        </w:rPr>
        <w:t xml:space="preserve">  如果委托人在规定的支付期限内未支付建设工程造价咨询酬金，自规定支付之日起，应当向咨询（受托）人补偿应支付的酬金利息。利息额度由双方商定。</w:t>
      </w:r>
    </w:p>
    <w:p w14:paraId="3EDA0E68">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第二十六条</w:t>
      </w:r>
      <w:r>
        <w:rPr>
          <w:rFonts w:hint="eastAsia" w:ascii="宋体" w:hAnsi="宋体" w:cs="宋体"/>
          <w:color w:val="auto"/>
          <w:szCs w:val="21"/>
        </w:rPr>
        <w:t xml:space="preserve">  如果委托人对咨询（受托）人提交的支付通知书中酬金或部分酬金项目提出异议，应当在收到支付通知书两日内向咨询（受托）人发出异议的通知，但委托人不得拖欠其无异议酬金项目的支付。</w:t>
      </w:r>
    </w:p>
    <w:p w14:paraId="2F28BD92">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第二十七条</w:t>
      </w:r>
      <w:r>
        <w:rPr>
          <w:rFonts w:hint="eastAsia" w:ascii="宋体" w:hAnsi="宋体" w:cs="宋体"/>
          <w:color w:val="auto"/>
          <w:szCs w:val="21"/>
        </w:rPr>
        <w:t xml:space="preserve">  支付建设工程造价咨询酬金所采取的货币币种、汇率由合同专用条件约定。</w:t>
      </w:r>
    </w:p>
    <w:p w14:paraId="22E6B5AD">
      <w:pPr>
        <w:spacing w:beforeLines="100" w:afterLines="100" w:line="420" w:lineRule="exact"/>
        <w:jc w:val="center"/>
        <w:rPr>
          <w:rFonts w:ascii="宋体" w:hAnsi="宋体" w:cs="宋体"/>
          <w:b/>
          <w:color w:val="auto"/>
          <w:szCs w:val="21"/>
        </w:rPr>
      </w:pPr>
      <w:r>
        <w:rPr>
          <w:rFonts w:hint="eastAsia" w:ascii="宋体" w:hAnsi="宋体" w:cs="宋体"/>
          <w:b/>
          <w:color w:val="auto"/>
          <w:szCs w:val="21"/>
        </w:rPr>
        <w:t>其   他</w:t>
      </w:r>
    </w:p>
    <w:p w14:paraId="68AFD435">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第二十八条</w:t>
      </w:r>
      <w:r>
        <w:rPr>
          <w:rFonts w:hint="eastAsia" w:ascii="宋体" w:hAnsi="宋体" w:cs="宋体"/>
          <w:color w:val="auto"/>
          <w:szCs w:val="21"/>
        </w:rPr>
        <w:t xml:space="preserve">  因建设工程造价咨询业务的需要，咨询（受托）人在合同约定外的外出考察，经委托方同意，其所需费用由委托人负责。</w:t>
      </w:r>
    </w:p>
    <w:p w14:paraId="0C141A36">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第二十九条</w:t>
      </w:r>
      <w:r>
        <w:rPr>
          <w:rFonts w:hint="eastAsia" w:ascii="宋体" w:hAnsi="宋体" w:cs="宋体"/>
          <w:color w:val="auto"/>
          <w:szCs w:val="21"/>
        </w:rPr>
        <w:t xml:space="preserve">  咨询（受托）人如需外聘专家协助，在委托的建设工程造价咨询业务范围内其费用由咨询（受托）人承担；在委托的建设工程造价咨询业务范围以外经委托人认可其费用由委托人承担。</w:t>
      </w:r>
    </w:p>
    <w:p w14:paraId="25C6D5AC">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第三十条</w:t>
      </w:r>
      <w:r>
        <w:rPr>
          <w:rFonts w:hint="eastAsia" w:ascii="宋体" w:hAnsi="宋体" w:cs="宋体"/>
          <w:color w:val="auto"/>
          <w:szCs w:val="21"/>
        </w:rPr>
        <w:t xml:space="preserve">  未经对方的书面同意，各方均不得转让合同约定的权利和义务。</w:t>
      </w:r>
    </w:p>
    <w:p w14:paraId="022439CB">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第三十一条</w:t>
      </w:r>
      <w:r>
        <w:rPr>
          <w:rFonts w:hint="eastAsia" w:ascii="宋体" w:hAnsi="宋体" w:cs="宋体"/>
          <w:color w:val="auto"/>
          <w:szCs w:val="21"/>
        </w:rPr>
        <w:t xml:space="preserve">  除委托人书面同意外，咨询（受托）人及咨询专业人员不应接受建设工程造价咨询合同以外的与建设工程造价咨询项目有关的任何报酬。</w:t>
      </w:r>
    </w:p>
    <w:p w14:paraId="5B2A1F67">
      <w:pPr>
        <w:spacing w:afterLines="50" w:line="420" w:lineRule="exact"/>
        <w:ind w:firstLine="420" w:firstLineChars="200"/>
        <w:jc w:val="left"/>
        <w:rPr>
          <w:rFonts w:ascii="宋体" w:hAnsi="宋体" w:cs="宋体"/>
          <w:color w:val="auto"/>
          <w:szCs w:val="21"/>
        </w:rPr>
      </w:pPr>
      <w:r>
        <w:rPr>
          <w:rFonts w:hint="eastAsia" w:ascii="宋体" w:hAnsi="宋体" w:cs="宋体"/>
          <w:color w:val="auto"/>
          <w:szCs w:val="21"/>
        </w:rPr>
        <w:t>咨询（受托）人不得参与可能与合同规定的与委托人利益相冲突的任何活动。</w:t>
      </w:r>
    </w:p>
    <w:p w14:paraId="0F81A056">
      <w:pPr>
        <w:spacing w:beforeLines="100" w:afterLines="100" w:line="420" w:lineRule="exact"/>
        <w:jc w:val="center"/>
        <w:rPr>
          <w:rFonts w:ascii="宋体" w:hAnsi="宋体" w:cs="宋体"/>
          <w:b/>
          <w:color w:val="auto"/>
          <w:szCs w:val="21"/>
        </w:rPr>
      </w:pPr>
      <w:r>
        <w:rPr>
          <w:rFonts w:hint="eastAsia" w:ascii="宋体" w:hAnsi="宋体" w:cs="宋体"/>
          <w:b/>
          <w:color w:val="auto"/>
          <w:szCs w:val="21"/>
        </w:rPr>
        <w:t>合同争议的解决</w:t>
      </w:r>
    </w:p>
    <w:p w14:paraId="793BCC64">
      <w:pPr>
        <w:spacing w:afterLines="50" w:line="420" w:lineRule="exact"/>
        <w:ind w:firstLine="422" w:firstLineChars="200"/>
        <w:jc w:val="left"/>
        <w:rPr>
          <w:rFonts w:ascii="宋体" w:hAnsi="宋体" w:cs="宋体"/>
          <w:color w:val="auto"/>
          <w:szCs w:val="21"/>
        </w:rPr>
      </w:pPr>
      <w:r>
        <w:rPr>
          <w:rFonts w:hint="eastAsia" w:ascii="宋体" w:hAnsi="宋体" w:cs="宋体"/>
          <w:b/>
          <w:color w:val="auto"/>
          <w:szCs w:val="21"/>
        </w:rPr>
        <w:t>第三十二条</w:t>
      </w:r>
      <w:r>
        <w:rPr>
          <w:rFonts w:hint="eastAsia" w:ascii="宋体" w:hAnsi="宋体" w:cs="宋体"/>
          <w:color w:val="auto"/>
          <w:szCs w:val="21"/>
        </w:rPr>
        <w:t xml:space="preserve">  因违约或终止合同而引起的损失和损害的赔偿，委托人与咨询（受托）人之间应当协商解决；如未能达成一致，可提交有关主管部门调解；协商或调解不成的，根据双方约定提交仲裁机关仲裁，或向人民法院提起讼诉。</w:t>
      </w:r>
    </w:p>
    <w:p w14:paraId="6162EBBE">
      <w:pPr>
        <w:spacing w:afterLines="50" w:line="360" w:lineRule="exact"/>
        <w:ind w:firstLine="420" w:firstLineChars="200"/>
        <w:jc w:val="left"/>
        <w:rPr>
          <w:rFonts w:ascii="宋体" w:hAnsi="宋体" w:cs="宋体"/>
          <w:color w:val="auto"/>
          <w:szCs w:val="21"/>
        </w:rPr>
      </w:pPr>
    </w:p>
    <w:p w14:paraId="796C5D3C">
      <w:pPr>
        <w:spacing w:afterLines="50" w:line="360" w:lineRule="exact"/>
        <w:ind w:firstLine="420" w:firstLineChars="200"/>
        <w:jc w:val="left"/>
        <w:rPr>
          <w:rFonts w:ascii="宋体" w:hAnsi="宋体" w:cs="宋体"/>
          <w:b/>
          <w:color w:val="auto"/>
          <w:szCs w:val="21"/>
        </w:rPr>
      </w:pPr>
      <w:r>
        <w:rPr>
          <w:rFonts w:hint="eastAsia" w:ascii="宋体" w:hAnsi="宋体" w:cs="宋体"/>
          <w:color w:val="auto"/>
          <w:szCs w:val="21"/>
        </w:rPr>
        <w:br w:type="page"/>
      </w:r>
      <w:bookmarkStart w:id="77" w:name="_Toc306261506"/>
      <w:bookmarkStart w:id="78" w:name="_Toc306261507"/>
      <w:r>
        <w:rPr>
          <w:rFonts w:hint="eastAsia" w:ascii="宋体" w:hAnsi="宋体" w:cs="宋体"/>
          <w:color w:val="auto"/>
          <w:szCs w:val="21"/>
        </w:rPr>
        <w:t xml:space="preserve">              </w:t>
      </w:r>
      <w:r>
        <w:rPr>
          <w:rFonts w:hint="eastAsia" w:ascii="宋体" w:hAnsi="宋体" w:cs="宋体"/>
          <w:b/>
          <w:color w:val="auto"/>
          <w:szCs w:val="21"/>
        </w:rPr>
        <w:t>第三部分  建设工程造价咨询合同专用条件</w:t>
      </w:r>
      <w:bookmarkEnd w:id="77"/>
    </w:p>
    <w:p w14:paraId="7786B2B3">
      <w:pPr>
        <w:autoSpaceDE w:val="0"/>
        <w:autoSpaceDN w:val="0"/>
        <w:adjustRightInd w:val="0"/>
        <w:spacing w:after="156" w:line="420" w:lineRule="exact"/>
        <w:ind w:firstLine="482"/>
        <w:rPr>
          <w:rFonts w:ascii="宋体" w:hAnsi="宋体" w:cs="宋体"/>
          <w:color w:val="auto"/>
          <w:kern w:val="0"/>
          <w:szCs w:val="21"/>
          <w:u w:val="single"/>
        </w:rPr>
      </w:pPr>
      <w:r>
        <w:rPr>
          <w:rFonts w:hint="eastAsia" w:ascii="宋体" w:hAnsi="宋体" w:cs="宋体"/>
          <w:b/>
          <w:bCs/>
          <w:color w:val="auto"/>
          <w:kern w:val="0"/>
          <w:szCs w:val="21"/>
          <w:lang w:val="zh-CN"/>
        </w:rPr>
        <w:t>第一条</w:t>
      </w:r>
      <w:r>
        <w:rPr>
          <w:rFonts w:hint="eastAsia" w:ascii="宋体" w:hAnsi="宋体" w:cs="宋体"/>
          <w:b/>
          <w:bCs/>
          <w:color w:val="auto"/>
          <w:kern w:val="0"/>
          <w:szCs w:val="21"/>
        </w:rPr>
        <w:t xml:space="preserve">  </w:t>
      </w:r>
      <w:r>
        <w:rPr>
          <w:rFonts w:hint="eastAsia" w:ascii="宋体" w:hAnsi="宋体" w:cs="宋体"/>
          <w:color w:val="auto"/>
          <w:kern w:val="0"/>
          <w:szCs w:val="21"/>
          <w:lang w:val="zh-CN"/>
        </w:rPr>
        <w:t>本业务的工作依据：</w:t>
      </w:r>
      <w:r>
        <w:rPr>
          <w:rFonts w:hint="eastAsia" w:ascii="宋体" w:hAnsi="宋体" w:cs="宋体"/>
          <w:color w:val="auto"/>
          <w:kern w:val="0"/>
          <w:szCs w:val="21"/>
          <w:u w:val="single"/>
          <w:lang w:val="zh-CN"/>
        </w:rPr>
        <w:t>以委托方提供的合法、客观、真实和全面的造价咨询资料和国家法律及行业规范标准定额等文件为依据</w:t>
      </w:r>
      <w:r>
        <w:rPr>
          <w:rFonts w:hint="eastAsia" w:ascii="宋体" w:hAnsi="宋体" w:cs="宋体"/>
          <w:color w:val="auto"/>
          <w:kern w:val="0"/>
          <w:szCs w:val="21"/>
          <w:lang w:val="zh-CN"/>
        </w:rPr>
        <w:t>。</w:t>
      </w:r>
      <w:r>
        <w:rPr>
          <w:rFonts w:hint="eastAsia" w:ascii="宋体" w:hAnsi="宋体" w:cs="宋体"/>
          <w:color w:val="auto"/>
          <w:kern w:val="0"/>
          <w:szCs w:val="21"/>
        </w:rPr>
        <w:t xml:space="preserve">  </w:t>
      </w:r>
    </w:p>
    <w:p w14:paraId="6FA52A77">
      <w:pPr>
        <w:autoSpaceDE w:val="0"/>
        <w:autoSpaceDN w:val="0"/>
        <w:adjustRightInd w:val="0"/>
        <w:spacing w:after="156" w:line="420" w:lineRule="exact"/>
        <w:ind w:firstLine="482"/>
        <w:rPr>
          <w:rFonts w:ascii="宋体" w:hAnsi="宋体" w:cs="宋体"/>
          <w:color w:val="auto"/>
          <w:kern w:val="0"/>
          <w:szCs w:val="21"/>
          <w:u w:val="single"/>
        </w:rPr>
      </w:pPr>
      <w:r>
        <w:rPr>
          <w:rFonts w:hint="eastAsia" w:ascii="宋体" w:hAnsi="宋体" w:cs="宋体"/>
          <w:b/>
          <w:bCs/>
          <w:color w:val="auto"/>
          <w:kern w:val="0"/>
          <w:szCs w:val="21"/>
          <w:lang w:val="zh-CN"/>
        </w:rPr>
        <w:t>第二条</w:t>
      </w:r>
      <w:r>
        <w:rPr>
          <w:rFonts w:hint="eastAsia" w:ascii="宋体" w:hAnsi="宋体" w:cs="宋体"/>
          <w:b/>
          <w:bCs/>
          <w:color w:val="auto"/>
          <w:kern w:val="0"/>
          <w:szCs w:val="21"/>
        </w:rPr>
        <w:t xml:space="preserve">  </w:t>
      </w:r>
      <w:r>
        <w:rPr>
          <w:rFonts w:hint="eastAsia" w:ascii="宋体" w:hAnsi="宋体" w:cs="宋体"/>
          <w:color w:val="auto"/>
          <w:kern w:val="0"/>
          <w:szCs w:val="21"/>
          <w:lang w:val="zh-CN"/>
        </w:rPr>
        <w:t>咨询业务范围和工作内容：</w:t>
      </w:r>
    </w:p>
    <w:p w14:paraId="0ADF1268">
      <w:pPr>
        <w:adjustRightInd w:val="0"/>
        <w:snapToGrid w:val="0"/>
        <w:spacing w:beforeLines="50" w:line="360" w:lineRule="auto"/>
        <w:ind w:left="420" w:leftChars="200" w:firstLine="420" w:firstLineChars="200"/>
        <w:rPr>
          <w:rFonts w:hint="eastAsia" w:ascii="宋体" w:hAnsi="宋体" w:eastAsia="宋体" w:cs="宋体"/>
          <w:color w:val="auto"/>
          <w:sz w:val="22"/>
          <w:szCs w:val="21"/>
          <w:lang w:eastAsia="zh-CN"/>
        </w:rPr>
      </w:pPr>
      <w:r>
        <w:rPr>
          <w:rFonts w:hint="eastAsia" w:ascii="宋体" w:hAnsi="宋体" w:cs="宋体"/>
          <w:color w:val="auto"/>
          <w:kern w:val="0"/>
          <w:szCs w:val="21"/>
        </w:rPr>
        <w:t xml:space="preserve">1. </w:t>
      </w:r>
      <w:r>
        <w:rPr>
          <w:rFonts w:hint="eastAsia" w:ascii="宋体" w:hAnsi="宋体" w:cs="宋体"/>
          <w:color w:val="auto"/>
          <w:kern w:val="0"/>
          <w:szCs w:val="21"/>
          <w:lang w:val="zh-CN"/>
        </w:rPr>
        <w:t>咨询业务范围：</w:t>
      </w:r>
      <w:r>
        <w:rPr>
          <w:rFonts w:hint="eastAsia" w:ascii="宋体" w:hAnsi="宋体" w:cs="宋体"/>
          <w:color w:val="auto"/>
          <w:sz w:val="22"/>
          <w:szCs w:val="21"/>
        </w:rPr>
        <w:t>本项目为娄底水府示范片万宝新区娄星南路北段及众园路建设工程结算审核造价咨询服务（万宝新区众园路西段（GK0+200~GK0+902.924、K0+528.557~K1+300）</w:t>
      </w:r>
      <w:r>
        <w:rPr>
          <w:rFonts w:hint="eastAsia" w:ascii="宋体" w:hAnsi="宋体" w:cs="宋体"/>
          <w:color w:val="auto"/>
          <w:sz w:val="22"/>
          <w:szCs w:val="21"/>
          <w:lang w:eastAsia="zh-CN"/>
        </w:rPr>
        <w:t>）</w:t>
      </w:r>
      <w:r>
        <w:rPr>
          <w:rFonts w:hint="eastAsia" w:ascii="宋体" w:hAnsi="宋体" w:cs="宋体"/>
          <w:color w:val="auto"/>
          <w:sz w:val="22"/>
          <w:szCs w:val="21"/>
        </w:rPr>
        <w:t>，主要包括道路工程、排水工程、人行道工程、市政管沟工程、标识标牌工程等及因道路施工造成水、电、气、路等改造需施工单位实施的工作内容的竣工结算审核造价咨询服务。供应商在复审期间需提供咨询服务，相关咨询费用已包含在合同总价中</w:t>
      </w:r>
      <w:r>
        <w:rPr>
          <w:rFonts w:hint="eastAsia" w:ascii="宋体" w:hAnsi="宋体" w:cs="宋体"/>
          <w:color w:val="auto"/>
          <w:sz w:val="22"/>
          <w:szCs w:val="21"/>
          <w:lang w:eastAsia="zh-CN"/>
        </w:rPr>
        <w:t>。</w:t>
      </w:r>
    </w:p>
    <w:p w14:paraId="6EBF6608">
      <w:pPr>
        <w:autoSpaceDE w:val="0"/>
        <w:autoSpaceDN w:val="0"/>
        <w:adjustRightInd w:val="0"/>
        <w:spacing w:after="156" w:line="420" w:lineRule="exact"/>
        <w:ind w:firstLine="480"/>
        <w:rPr>
          <w:rFonts w:ascii="宋体" w:hAnsi="宋体" w:cs="宋体"/>
          <w:color w:val="auto"/>
          <w:kern w:val="0"/>
          <w:szCs w:val="21"/>
          <w:lang w:val="zh-CN"/>
        </w:rPr>
      </w:pPr>
      <w:r>
        <w:rPr>
          <w:rFonts w:hint="eastAsia" w:ascii="宋体" w:hAnsi="宋体" w:cs="宋体"/>
          <w:color w:val="auto"/>
          <w:kern w:val="0"/>
          <w:szCs w:val="21"/>
        </w:rPr>
        <w:t xml:space="preserve"> 2. </w:t>
      </w:r>
      <w:r>
        <w:rPr>
          <w:rFonts w:hint="eastAsia" w:ascii="宋体" w:hAnsi="宋体" w:cs="宋体"/>
          <w:color w:val="auto"/>
          <w:kern w:val="0"/>
          <w:szCs w:val="21"/>
          <w:lang w:val="zh-CN"/>
        </w:rPr>
        <w:t>咨询工作内容：</w:t>
      </w:r>
    </w:p>
    <w:p w14:paraId="376EB6EB">
      <w:pPr>
        <w:autoSpaceDE w:val="0"/>
        <w:autoSpaceDN w:val="0"/>
        <w:adjustRightInd w:val="0"/>
        <w:spacing w:after="156" w:line="420" w:lineRule="exact"/>
        <w:ind w:firstLine="480"/>
        <w:rPr>
          <w:rFonts w:ascii="宋体" w:hAnsi="宋体" w:cs="宋体"/>
          <w:color w:val="auto"/>
          <w:kern w:val="0"/>
          <w:szCs w:val="21"/>
          <w:lang w:val="zh-CN"/>
        </w:rPr>
      </w:pPr>
      <w:r>
        <w:rPr>
          <w:rFonts w:hint="eastAsia" w:ascii="宋体" w:hAnsi="宋体" w:cs="宋体"/>
          <w:color w:val="auto"/>
          <w:kern w:val="0"/>
          <w:szCs w:val="21"/>
          <w:lang w:val="zh-CN"/>
        </w:rPr>
        <w:t>结算审核：对该项目总承包单位编制的结算进行审核，并出具满足项目结算评审要求的审核报告；项目进行结算评审时，配合业主单位做好对审工作，完成结算评审并取得结算评审结论等。</w:t>
      </w:r>
    </w:p>
    <w:p w14:paraId="6FB1F05A">
      <w:pPr>
        <w:autoSpaceDE w:val="0"/>
        <w:autoSpaceDN w:val="0"/>
        <w:adjustRightInd w:val="0"/>
        <w:spacing w:after="156" w:line="420" w:lineRule="exact"/>
        <w:ind w:firstLine="480"/>
        <w:rPr>
          <w:rFonts w:ascii="宋体" w:hAnsi="宋体" w:cs="宋体"/>
          <w:color w:val="auto"/>
          <w:kern w:val="0"/>
          <w:szCs w:val="21"/>
          <w:lang w:val="zh-CN"/>
        </w:rPr>
      </w:pPr>
      <w:r>
        <w:rPr>
          <w:rFonts w:hint="eastAsia" w:ascii="宋体" w:hAnsi="宋体" w:cs="宋体"/>
          <w:color w:val="auto"/>
          <w:kern w:val="0"/>
          <w:szCs w:val="21"/>
        </w:rPr>
        <w:t>3.</w:t>
      </w:r>
      <w:r>
        <w:rPr>
          <w:rFonts w:hint="eastAsia" w:ascii="宋体" w:hAnsi="宋体" w:cs="宋体"/>
          <w:color w:val="auto"/>
          <w:kern w:val="0"/>
          <w:szCs w:val="21"/>
          <w:lang w:val="zh-CN"/>
        </w:rPr>
        <w:t>质量标准：</w:t>
      </w:r>
    </w:p>
    <w:p w14:paraId="2AEA009A">
      <w:pPr>
        <w:autoSpaceDE w:val="0"/>
        <w:autoSpaceDN w:val="0"/>
        <w:adjustRightInd w:val="0"/>
        <w:spacing w:after="156" w:line="420" w:lineRule="exact"/>
        <w:ind w:firstLine="480"/>
        <w:rPr>
          <w:rFonts w:ascii="宋体" w:hAnsi="宋体" w:cs="宋体"/>
          <w:color w:val="auto"/>
          <w:kern w:val="0"/>
          <w:szCs w:val="21"/>
          <w:lang w:val="zh-CN"/>
        </w:rPr>
      </w:pPr>
      <w:r>
        <w:rPr>
          <w:rFonts w:hint="eastAsia" w:ascii="宋体" w:hAnsi="宋体" w:cs="宋体"/>
          <w:color w:val="auto"/>
          <w:kern w:val="0"/>
          <w:szCs w:val="21"/>
        </w:rPr>
        <w:t>3.1</w:t>
      </w:r>
      <w:r>
        <w:rPr>
          <w:rFonts w:hint="eastAsia" w:ascii="宋体" w:hAnsi="宋体" w:cs="宋体"/>
          <w:color w:val="auto"/>
          <w:kern w:val="0"/>
          <w:szCs w:val="21"/>
          <w:lang w:val="zh-CN"/>
        </w:rPr>
        <w:t>工程造价咨询成果文件应符合中价协【2012】011号《建设工程造价咨询成果文件质量标准》。</w:t>
      </w:r>
    </w:p>
    <w:p w14:paraId="29002CB0">
      <w:pPr>
        <w:pStyle w:val="2"/>
        <w:rPr>
          <w:rFonts w:ascii="宋体" w:hAnsi="宋体" w:cs="宋体"/>
          <w:color w:val="auto"/>
          <w:sz w:val="21"/>
        </w:rPr>
      </w:pPr>
      <w:r>
        <w:rPr>
          <w:rFonts w:hint="eastAsia" w:ascii="宋体" w:hAnsi="宋体" w:cs="宋体"/>
          <w:color w:val="auto"/>
          <w:kern w:val="0"/>
          <w:sz w:val="21"/>
        </w:rPr>
        <w:t>3.2</w:t>
      </w:r>
      <w:r>
        <w:rPr>
          <w:rFonts w:hint="eastAsia" w:ascii="宋体" w:hAnsi="宋体" w:cs="宋体"/>
          <w:color w:val="auto"/>
          <w:kern w:val="0"/>
          <w:sz w:val="21"/>
          <w:lang w:val="zh-CN"/>
        </w:rPr>
        <w:t>结算审核报告应满足项目结算评审的要求。</w:t>
      </w:r>
    </w:p>
    <w:p w14:paraId="6DC803E3">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 xml:space="preserve">第三条  </w:t>
      </w:r>
      <w:r>
        <w:rPr>
          <w:rFonts w:hint="eastAsia" w:ascii="宋体" w:hAnsi="宋体" w:cs="宋体"/>
          <w:color w:val="auto"/>
          <w:szCs w:val="21"/>
        </w:rPr>
        <w:t>保密条款</w:t>
      </w:r>
    </w:p>
    <w:p w14:paraId="6ED57B48">
      <w:pPr>
        <w:spacing w:afterLines="50" w:line="420" w:lineRule="exact"/>
        <w:ind w:firstLine="840" w:firstLineChars="400"/>
        <w:rPr>
          <w:rFonts w:ascii="宋体" w:hAnsi="宋体" w:cs="宋体"/>
          <w:color w:val="auto"/>
          <w:szCs w:val="21"/>
        </w:rPr>
      </w:pPr>
      <w:r>
        <w:rPr>
          <w:rFonts w:hint="eastAsia" w:ascii="宋体" w:hAnsi="宋体" w:cs="宋体"/>
          <w:color w:val="auto"/>
          <w:szCs w:val="21"/>
        </w:rPr>
        <w:t>1.在为委托人提供服务过程中，咨询（受托）人可能会获取与委托人业务或其他事宜有关的保密信息。咨询（受托）人应遵守中华人民共和国相关法律法规的要求，对执行业务过程中知悉的委托人的保密信息予以保密，否则咨询（受托）人不得向除咨询（受托）人外的第三方披露保密信息，除下列情况外：</w:t>
      </w:r>
    </w:p>
    <w:p w14:paraId="5D374614">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1.1 法律法规允许，并取得委托人的授权；</w:t>
      </w:r>
    </w:p>
    <w:p w14:paraId="336CFCE9">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1.2 根据法律法规的规定，为法律诉讼准备文件或提供证据，以及向监管机构报告发现的违反法规行为；</w:t>
      </w:r>
    </w:p>
    <w:p w14:paraId="63C83BF0">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1.3法律法规允许的情况下，在法律诉讼、仲裁中维护自己的合法权益；</w:t>
      </w:r>
    </w:p>
    <w:p w14:paraId="46C55BFB">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1.4接受法院、检察院、行业协会或监管机构等有权机构的检查，答复其询问和调查；</w:t>
      </w:r>
    </w:p>
    <w:p w14:paraId="0BE1D022">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1.5监管机构对咨询（受托）人进行行政处罚（包括监管机构处罚前的调查、听证）以及咨询（受托）人对此提起行政复议；</w:t>
      </w:r>
    </w:p>
    <w:p w14:paraId="7A6BF640">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1.6 在有关服务的法律程序中咨询（受托）人作为涉及的一方进行披露或咨询（受托）人必须要披露；</w:t>
      </w:r>
    </w:p>
    <w:p w14:paraId="5FBEA563">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1.7法律法规、执业准则和职业道德规范规定的其他情形。</w:t>
      </w:r>
    </w:p>
    <w:p w14:paraId="7118E383">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2.为了进行市场拓展、宣传或者推广咨询（受托）人的服务，咨询（受托）人可能会披露曾为委托人工作（包括提供服务）的事实。在这种情况下咨询（受托）人会提及委托人的名称或使用委托人的logo，并指出该工作（或服务）的一般性质或种类，以及任何已适当进入公众领域的详细信息。</w:t>
      </w:r>
    </w:p>
    <w:p w14:paraId="0BDD7E1E">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3.咨询（受托）人为委托人提供服务的人员应对本公司的涉密信息保密。</w:t>
      </w:r>
    </w:p>
    <w:p w14:paraId="5A3EEFB9">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 xml:space="preserve">第四条  </w:t>
      </w:r>
      <w:r>
        <w:rPr>
          <w:rFonts w:hint="eastAsia" w:ascii="宋体" w:hAnsi="宋体" w:cs="宋体"/>
          <w:color w:val="auto"/>
          <w:szCs w:val="21"/>
        </w:rPr>
        <w:t>本项目委托人提供咨询（受托）人现场办公的便利，并按照咨询（受托）人提交的资料清单及时提供所需初步设计概算及批复文件、招投标文件、工程项目施工合同、材料和设备采购合同（若有）、工程竣工验收报告、工程结算资料及其他相关工程资料，并对资料的真实性、合法性负责。</w:t>
      </w:r>
    </w:p>
    <w:p w14:paraId="131223AE">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 xml:space="preserve">第五条  </w:t>
      </w:r>
      <w:r>
        <w:rPr>
          <w:rFonts w:hint="eastAsia" w:ascii="宋体" w:hAnsi="宋体" w:cs="宋体"/>
          <w:color w:val="auto"/>
          <w:szCs w:val="21"/>
        </w:rPr>
        <w:t>委托人应在收到对咨询（受托）人要求做出答复事宜的书面报告后，</w:t>
      </w:r>
      <w:r>
        <w:rPr>
          <w:rFonts w:hint="eastAsia" w:ascii="宋体" w:hAnsi="宋体" w:cs="宋体"/>
          <w:color w:val="auto"/>
          <w:szCs w:val="21"/>
          <w:u w:val="single"/>
        </w:rPr>
        <w:t xml:space="preserve"> 7</w:t>
      </w:r>
      <w:r>
        <w:rPr>
          <w:rFonts w:hint="eastAsia" w:ascii="宋体" w:hAnsi="宋体" w:cs="宋体"/>
          <w:color w:val="auto"/>
          <w:szCs w:val="21"/>
        </w:rPr>
        <w:t>日内做出书面答复。若超过上述时限，完成日顺延。</w:t>
      </w:r>
    </w:p>
    <w:p w14:paraId="4A34B90C">
      <w:pPr>
        <w:tabs>
          <w:tab w:val="left" w:pos="540"/>
        </w:tabs>
        <w:spacing w:afterLines="50" w:line="420" w:lineRule="exact"/>
        <w:ind w:firstLine="422" w:firstLineChars="200"/>
        <w:rPr>
          <w:rFonts w:ascii="宋体" w:hAnsi="宋体" w:cs="宋体"/>
          <w:color w:val="auto"/>
          <w:szCs w:val="21"/>
        </w:rPr>
      </w:pPr>
      <w:r>
        <w:rPr>
          <w:rFonts w:hint="eastAsia" w:ascii="宋体" w:hAnsi="宋体" w:cs="宋体"/>
          <w:b/>
          <w:color w:val="auto"/>
          <w:szCs w:val="21"/>
        </w:rPr>
        <w:t xml:space="preserve">第六条  </w:t>
      </w:r>
      <w:r>
        <w:rPr>
          <w:rFonts w:hint="eastAsia" w:ascii="宋体" w:hAnsi="宋体" w:cs="宋体"/>
          <w:color w:val="auto"/>
          <w:szCs w:val="21"/>
        </w:rPr>
        <w:t>咨询（受托）人在其责任期内如有过失，同意按以下办法承担因自身过错而造成的经济损失：</w:t>
      </w:r>
      <w:r>
        <w:rPr>
          <w:rFonts w:hint="eastAsia" w:ascii="宋体" w:hAnsi="宋体" w:cs="宋体"/>
          <w:color w:val="auto"/>
          <w:szCs w:val="21"/>
          <w:u w:val="single"/>
        </w:rPr>
        <w:t>违约引起的任何额外费用应由咨询（受托）人承担</w:t>
      </w:r>
      <w:r>
        <w:rPr>
          <w:rFonts w:hint="eastAsia" w:ascii="宋体" w:hAnsi="宋体" w:cs="宋体"/>
          <w:color w:val="auto"/>
          <w:szCs w:val="21"/>
        </w:rPr>
        <w:t>。</w:t>
      </w:r>
    </w:p>
    <w:p w14:paraId="40B332D9">
      <w:pPr>
        <w:tabs>
          <w:tab w:val="left" w:pos="540"/>
        </w:tabs>
        <w:spacing w:afterLines="50" w:line="420" w:lineRule="exact"/>
        <w:ind w:firstLine="422" w:firstLineChars="200"/>
        <w:rPr>
          <w:rFonts w:ascii="宋体" w:hAnsi="宋体" w:cs="宋体"/>
          <w:color w:val="auto"/>
          <w:szCs w:val="21"/>
          <w:u w:val="single"/>
        </w:rPr>
      </w:pPr>
      <w:r>
        <w:rPr>
          <w:rFonts w:hint="eastAsia" w:ascii="宋体" w:hAnsi="宋体" w:cs="宋体"/>
          <w:b/>
          <w:color w:val="auto"/>
          <w:szCs w:val="21"/>
        </w:rPr>
        <w:t xml:space="preserve">第七条  </w:t>
      </w:r>
      <w:r>
        <w:rPr>
          <w:rFonts w:hint="eastAsia" w:ascii="宋体" w:hAnsi="宋体" w:cs="宋体"/>
          <w:color w:val="auto"/>
          <w:szCs w:val="21"/>
        </w:rPr>
        <w:t>委托人同意按以下计算方法、支付时间与金额，支付咨询（受托）人的正常酬金：</w:t>
      </w:r>
    </w:p>
    <w:p w14:paraId="3D704EC7">
      <w:pPr>
        <w:tabs>
          <w:tab w:val="left" w:pos="540"/>
          <w:tab w:val="left" w:pos="5940"/>
        </w:tabs>
        <w:spacing w:afterLines="50" w:line="420" w:lineRule="exact"/>
        <w:ind w:firstLine="420" w:firstLineChars="200"/>
        <w:rPr>
          <w:rFonts w:ascii="宋体" w:hAnsi="宋体" w:cs="宋体"/>
          <w:color w:val="auto"/>
          <w:szCs w:val="21"/>
        </w:rPr>
      </w:pPr>
      <w:r>
        <w:rPr>
          <w:rFonts w:hint="eastAsia" w:ascii="宋体" w:hAnsi="宋体" w:cs="宋体"/>
          <w:color w:val="auto"/>
          <w:szCs w:val="21"/>
        </w:rPr>
        <w:t>1.酬金计算。经双方协商同意按以下第</w:t>
      </w:r>
      <w:r>
        <w:rPr>
          <w:rFonts w:hint="eastAsia" w:ascii="宋体" w:hAnsi="宋体" w:cs="宋体"/>
          <w:color w:val="auto"/>
          <w:szCs w:val="21"/>
          <w:u w:val="single"/>
        </w:rPr>
        <w:t xml:space="preserve">  2  </w:t>
      </w:r>
      <w:r>
        <w:rPr>
          <w:rFonts w:hint="eastAsia" w:ascii="宋体" w:hAnsi="宋体" w:cs="宋体"/>
          <w:color w:val="auto"/>
          <w:szCs w:val="21"/>
        </w:rPr>
        <w:t>种方式计算正常酬金。</w:t>
      </w:r>
    </w:p>
    <w:p w14:paraId="1E974BFA">
      <w:pPr>
        <w:tabs>
          <w:tab w:val="left" w:pos="540"/>
        </w:tabs>
        <w:spacing w:afterLines="50" w:line="420" w:lineRule="exact"/>
        <w:ind w:firstLine="420" w:firstLineChars="200"/>
        <w:rPr>
          <w:rFonts w:ascii="宋体" w:hAnsi="宋体" w:cs="宋体"/>
          <w:color w:val="auto"/>
          <w:szCs w:val="21"/>
        </w:rPr>
      </w:pPr>
      <w:r>
        <w:rPr>
          <w:rFonts w:hint="eastAsia" w:ascii="宋体" w:hAnsi="宋体" w:cs="宋体"/>
          <w:color w:val="auto"/>
          <w:szCs w:val="21"/>
        </w:rPr>
        <w:t>1.1 工程</w:t>
      </w:r>
      <w:r>
        <w:rPr>
          <w:rFonts w:hint="eastAsia" w:ascii="宋体" w:hAnsi="宋体" w:cs="宋体"/>
          <w:bCs/>
          <w:color w:val="auto"/>
          <w:szCs w:val="21"/>
          <w:u w:val="single"/>
        </w:rPr>
        <w:t xml:space="preserve"> / </w:t>
      </w:r>
      <w:r>
        <w:rPr>
          <w:rFonts w:hint="eastAsia" w:ascii="宋体" w:hAnsi="宋体" w:cs="宋体"/>
          <w:bCs/>
          <w:color w:val="auto"/>
          <w:szCs w:val="21"/>
        </w:rPr>
        <w:t>（</w:t>
      </w:r>
      <w:r>
        <w:rPr>
          <w:rFonts w:hint="eastAsia" w:ascii="宋体" w:hAnsi="宋体" w:cs="宋体"/>
          <w:color w:val="auto"/>
          <w:szCs w:val="21"/>
        </w:rPr>
        <w:t>概算/预算/结算/工程量清单/招标控制价/变更/签证/索赔等）审核类咨询费包括基本费和效益费，即：咨询费 = 基本费 + 效益费。</w:t>
      </w:r>
    </w:p>
    <w:p w14:paraId="17579BCD">
      <w:pPr>
        <w:tabs>
          <w:tab w:val="left" w:pos="540"/>
        </w:tabs>
        <w:spacing w:afterLines="50" w:line="420" w:lineRule="exact"/>
        <w:ind w:firstLine="420" w:firstLineChars="200"/>
        <w:rPr>
          <w:rFonts w:ascii="宋体" w:hAnsi="宋体" w:cs="宋体"/>
          <w:bCs/>
          <w:color w:val="auto"/>
          <w:szCs w:val="21"/>
        </w:rPr>
      </w:pPr>
      <w:r>
        <w:rPr>
          <w:rFonts w:hint="eastAsia" w:ascii="宋体" w:hAnsi="宋体" w:cs="宋体"/>
          <w:bCs/>
          <w:color w:val="auto"/>
          <w:szCs w:val="21"/>
        </w:rPr>
        <w:t>1.2基本费为送审金额的</w:t>
      </w:r>
      <w:r>
        <w:rPr>
          <w:rFonts w:hint="eastAsia" w:ascii="宋体" w:hAnsi="宋体" w:cs="宋体"/>
          <w:bCs/>
          <w:color w:val="auto"/>
          <w:szCs w:val="21"/>
          <w:u w:val="single"/>
        </w:rPr>
        <w:t xml:space="preserve"> / </w:t>
      </w:r>
      <w:r>
        <w:rPr>
          <w:rFonts w:hint="eastAsia" w:ascii="宋体" w:hAnsi="宋体" w:cs="宋体"/>
          <w:bCs/>
          <w:color w:val="auto"/>
          <w:szCs w:val="21"/>
        </w:rPr>
        <w:t>‰ 。</w:t>
      </w:r>
    </w:p>
    <w:p w14:paraId="6AC31D2F">
      <w:pPr>
        <w:tabs>
          <w:tab w:val="left" w:pos="540"/>
        </w:tabs>
        <w:spacing w:afterLines="50" w:line="420" w:lineRule="exact"/>
        <w:ind w:firstLine="420" w:firstLineChars="200"/>
        <w:rPr>
          <w:rFonts w:ascii="宋体" w:hAnsi="宋体" w:cs="宋体"/>
          <w:bCs/>
          <w:color w:val="auto"/>
          <w:szCs w:val="21"/>
        </w:rPr>
      </w:pPr>
      <w:r>
        <w:rPr>
          <w:rFonts w:hint="eastAsia" w:ascii="宋体" w:hAnsi="宋体" w:cs="宋体"/>
          <w:bCs/>
          <w:color w:val="auto"/>
          <w:szCs w:val="21"/>
        </w:rPr>
        <w:t>1.3效益费为审减金额的</w:t>
      </w:r>
      <w:r>
        <w:rPr>
          <w:rFonts w:hint="eastAsia" w:ascii="宋体" w:hAnsi="宋体" w:cs="宋体"/>
          <w:bCs/>
          <w:color w:val="auto"/>
          <w:szCs w:val="21"/>
          <w:u w:val="single"/>
        </w:rPr>
        <w:t xml:space="preserve"> / </w:t>
      </w:r>
      <w:r>
        <w:rPr>
          <w:rFonts w:hint="eastAsia" w:ascii="宋体" w:hAnsi="宋体" w:cs="宋体"/>
          <w:bCs/>
          <w:color w:val="auto"/>
          <w:szCs w:val="21"/>
        </w:rPr>
        <w:t>% 。</w:t>
      </w:r>
    </w:p>
    <w:p w14:paraId="01754067">
      <w:pPr>
        <w:adjustRightInd w:val="0"/>
        <w:snapToGrid w:val="0"/>
        <w:spacing w:line="420" w:lineRule="exact"/>
        <w:ind w:firstLine="420" w:firstLineChars="200"/>
        <w:rPr>
          <w:rFonts w:ascii="宋体" w:hAnsi="宋体" w:cs="宋体"/>
          <w:color w:val="auto"/>
          <w:szCs w:val="21"/>
        </w:rPr>
      </w:pPr>
      <w:r>
        <w:rPr>
          <w:rFonts w:hint="eastAsia" w:ascii="宋体" w:hAnsi="宋体" w:cs="宋体"/>
          <w:bCs/>
          <w:color w:val="auto"/>
          <w:szCs w:val="21"/>
        </w:rPr>
        <w:t>2</w:t>
      </w:r>
      <w:r>
        <w:rPr>
          <w:rFonts w:hint="eastAsia" w:ascii="宋体" w:hAnsi="宋体" w:cs="宋体"/>
          <w:color w:val="auto"/>
          <w:szCs w:val="21"/>
        </w:rPr>
        <w:t xml:space="preserve">.项目咨询费约定如下： </w:t>
      </w:r>
    </w:p>
    <w:p w14:paraId="488BE873">
      <w:pPr>
        <w:pStyle w:val="2"/>
        <w:rPr>
          <w:color w:val="auto"/>
        </w:rPr>
      </w:pPr>
      <w:r>
        <w:rPr>
          <w:rFonts w:hint="eastAsia" w:ascii="宋体" w:hAnsi="宋体" w:cs="宋体"/>
          <w:color w:val="auto"/>
          <w:sz w:val="21"/>
        </w:rPr>
        <w:t>2.1合同价格形式：</w:t>
      </w:r>
      <w:r>
        <w:rPr>
          <w:rFonts w:hint="eastAsia" w:ascii="宋体" w:hAnsi="宋体" w:cs="宋体"/>
          <w:color w:val="auto"/>
          <w:sz w:val="21"/>
          <w:u w:val="single"/>
        </w:rPr>
        <w:t>总价合同。</w:t>
      </w:r>
    </w:p>
    <w:p w14:paraId="4BACD2A4">
      <w:pPr>
        <w:adjustRightInd w:val="0"/>
        <w:snapToGrid w:val="0"/>
        <w:spacing w:line="420" w:lineRule="exact"/>
        <w:ind w:firstLine="420" w:firstLineChars="200"/>
        <w:rPr>
          <w:rFonts w:ascii="宋体" w:hAnsi="宋体" w:cs="宋体"/>
          <w:color w:val="auto"/>
          <w:szCs w:val="21"/>
        </w:rPr>
      </w:pPr>
      <w:r>
        <w:rPr>
          <w:rFonts w:hint="eastAsia" w:ascii="宋体" w:hAnsi="宋体" w:cs="宋体"/>
          <w:color w:val="auto"/>
          <w:szCs w:val="21"/>
        </w:rPr>
        <w:t>2.2乙方出具的结算审核金额与复审金额误差率控制在±3%之内（含3%）的，按合同金额100%计算费用；误差率超过±3%的，每增加一个百分点扣20%合同费用（按内插法计算）；误差率超过±8%的结算合同金额全扣。审核依据不充分部分不纳入误差率的计算。</w:t>
      </w:r>
    </w:p>
    <w:p w14:paraId="3AA69E43">
      <w:pPr>
        <w:adjustRightInd w:val="0"/>
        <w:snapToGrid w:val="0"/>
        <w:spacing w:line="420" w:lineRule="exact"/>
        <w:ind w:firstLine="420" w:firstLineChars="200"/>
        <w:rPr>
          <w:rFonts w:ascii="宋体" w:hAnsi="宋体" w:cs="宋体"/>
          <w:color w:val="auto"/>
          <w:szCs w:val="21"/>
        </w:rPr>
      </w:pPr>
      <w:r>
        <w:rPr>
          <w:rFonts w:hint="eastAsia" w:ascii="宋体" w:hAnsi="宋体" w:cs="宋体"/>
          <w:color w:val="auto"/>
          <w:szCs w:val="21"/>
        </w:rPr>
        <w:t>2.3项目复审根据项目所在地审计（评审）政策、业主单位制度及要求执行。</w:t>
      </w:r>
    </w:p>
    <w:p w14:paraId="1BE06150">
      <w:pPr>
        <w:tabs>
          <w:tab w:val="left" w:pos="540"/>
        </w:tabs>
        <w:spacing w:afterLines="50" w:line="420" w:lineRule="exact"/>
        <w:ind w:firstLine="420" w:firstLineChars="200"/>
        <w:rPr>
          <w:rFonts w:ascii="宋体" w:hAnsi="宋体" w:cs="宋体"/>
          <w:color w:val="auto"/>
          <w:szCs w:val="21"/>
        </w:rPr>
      </w:pPr>
      <w:r>
        <w:rPr>
          <w:rFonts w:hint="eastAsia" w:ascii="宋体" w:hAnsi="宋体" w:cs="宋体"/>
          <w:bCs/>
          <w:color w:val="auto"/>
          <w:szCs w:val="21"/>
        </w:rPr>
        <w:t>3</w:t>
      </w:r>
      <w:r>
        <w:rPr>
          <w:rFonts w:hint="eastAsia" w:ascii="宋体" w:hAnsi="宋体" w:cs="宋体"/>
          <w:color w:val="auto"/>
          <w:szCs w:val="21"/>
        </w:rPr>
        <w:t>. 建设项目全过程造价咨询服务类咨询费为建设项目总投资额的</w:t>
      </w:r>
      <w:r>
        <w:rPr>
          <w:rFonts w:hint="eastAsia" w:ascii="宋体" w:hAnsi="宋体" w:cs="宋体"/>
          <w:color w:val="auto"/>
          <w:szCs w:val="21"/>
          <w:u w:val="single"/>
        </w:rPr>
        <w:t xml:space="preserve"> / </w:t>
      </w:r>
      <w:r>
        <w:rPr>
          <w:rFonts w:hint="eastAsia" w:ascii="宋体" w:hAnsi="宋体" w:cs="宋体"/>
          <w:color w:val="auto"/>
          <w:szCs w:val="21"/>
        </w:rPr>
        <w:t>‰ 。</w:t>
      </w:r>
    </w:p>
    <w:p w14:paraId="5A5169F3">
      <w:pPr>
        <w:tabs>
          <w:tab w:val="left" w:pos="540"/>
        </w:tabs>
        <w:spacing w:afterLines="50" w:line="420" w:lineRule="exact"/>
        <w:ind w:firstLine="420" w:firstLineChars="200"/>
        <w:rPr>
          <w:rFonts w:ascii="宋体" w:hAnsi="宋体" w:cs="宋体"/>
          <w:bCs/>
          <w:color w:val="auto"/>
          <w:szCs w:val="21"/>
        </w:rPr>
      </w:pPr>
      <w:r>
        <w:rPr>
          <w:rFonts w:hint="eastAsia" w:ascii="宋体" w:hAnsi="宋体" w:cs="宋体"/>
          <w:bCs/>
          <w:color w:val="auto"/>
          <w:szCs w:val="21"/>
        </w:rPr>
        <w:t>4</w:t>
      </w:r>
      <w:r>
        <w:rPr>
          <w:rFonts w:hint="eastAsia" w:ascii="宋体" w:hAnsi="宋体" w:cs="宋体"/>
          <w:color w:val="auto"/>
          <w:szCs w:val="21"/>
        </w:rPr>
        <w:t>. 建设项目工程造价鉴证服务类咨询费为建设项目总投资额的</w:t>
      </w:r>
      <w:r>
        <w:rPr>
          <w:rFonts w:hint="eastAsia" w:ascii="宋体" w:hAnsi="宋体" w:cs="宋体"/>
          <w:color w:val="auto"/>
          <w:szCs w:val="21"/>
          <w:u w:val="single"/>
        </w:rPr>
        <w:t xml:space="preserve">  / </w:t>
      </w:r>
      <w:r>
        <w:rPr>
          <w:rFonts w:hint="eastAsia" w:ascii="宋体" w:hAnsi="宋体" w:cs="宋体"/>
          <w:color w:val="auto"/>
          <w:szCs w:val="21"/>
        </w:rPr>
        <w:t>‰ 。</w:t>
      </w:r>
    </w:p>
    <w:p w14:paraId="37DE3192">
      <w:pPr>
        <w:tabs>
          <w:tab w:val="left" w:pos="540"/>
        </w:tabs>
        <w:spacing w:afterLines="50" w:line="420" w:lineRule="exact"/>
        <w:ind w:firstLine="420" w:firstLineChars="200"/>
        <w:rPr>
          <w:rFonts w:ascii="宋体" w:hAnsi="宋体" w:cs="宋体"/>
          <w:bCs/>
          <w:color w:val="auto"/>
          <w:szCs w:val="21"/>
        </w:rPr>
      </w:pPr>
      <w:r>
        <w:rPr>
          <w:rFonts w:hint="eastAsia" w:ascii="宋体" w:hAnsi="宋体" w:cs="宋体"/>
          <w:bCs/>
          <w:color w:val="auto"/>
          <w:szCs w:val="21"/>
        </w:rPr>
        <w:t>5.支付。</w:t>
      </w:r>
    </w:p>
    <w:p w14:paraId="1C966BBA">
      <w:pPr>
        <w:pStyle w:val="2"/>
        <w:rPr>
          <w:color w:val="auto"/>
        </w:rPr>
      </w:pPr>
      <w:r>
        <w:rPr>
          <w:rFonts w:hint="eastAsia" w:ascii="宋体" w:hAnsi="宋体" w:cs="宋体"/>
          <w:bCs/>
          <w:color w:val="auto"/>
          <w:sz w:val="21"/>
        </w:rPr>
        <w:t>5.1预付款</w:t>
      </w:r>
    </w:p>
    <w:p w14:paraId="4BD2AE4B">
      <w:pPr>
        <w:tabs>
          <w:tab w:val="left" w:pos="540"/>
        </w:tabs>
        <w:spacing w:afterLines="50" w:line="420" w:lineRule="exact"/>
        <w:ind w:firstLine="420" w:firstLineChars="200"/>
        <w:rPr>
          <w:rFonts w:ascii="宋体" w:hAnsi="宋体" w:cs="宋体"/>
          <w:color w:val="auto"/>
          <w:szCs w:val="21"/>
        </w:rPr>
      </w:pPr>
      <w:r>
        <w:rPr>
          <w:rFonts w:hint="eastAsia" w:ascii="宋体" w:hAnsi="宋体" w:cs="宋体"/>
          <w:color w:val="auto"/>
          <w:szCs w:val="21"/>
        </w:rPr>
        <w:t>5.1.1预付款金额：</w:t>
      </w:r>
      <w:r>
        <w:rPr>
          <w:rFonts w:hint="eastAsia" w:ascii="宋体" w:hAnsi="宋体" w:cs="宋体"/>
          <w:bCs/>
          <w:color w:val="auto"/>
          <w:szCs w:val="21"/>
        </w:rPr>
        <w:t>合同金额的</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rPr>
        <w:t>。</w:t>
      </w:r>
    </w:p>
    <w:p w14:paraId="2C029CAF">
      <w:pPr>
        <w:ind w:firstLine="420" w:firstLineChars="200"/>
        <w:rPr>
          <w:rFonts w:ascii="宋体" w:hAnsi="宋体" w:cs="宋体"/>
          <w:bCs/>
          <w:color w:val="auto"/>
          <w:szCs w:val="21"/>
        </w:rPr>
      </w:pPr>
      <w:r>
        <w:rPr>
          <w:rFonts w:hint="eastAsia" w:ascii="宋体" w:hAnsi="宋体" w:cs="宋体"/>
          <w:color w:val="auto"/>
          <w:szCs w:val="21"/>
        </w:rPr>
        <w:t>5.1.2预付款支付</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u w:val="single"/>
          <w:lang w:val="en-US" w:eastAsia="zh-CN"/>
        </w:rPr>
        <w:t xml:space="preserve"> /  </w:t>
      </w:r>
      <w:r>
        <w:rPr>
          <w:rFonts w:hint="eastAsia" w:ascii="宋体" w:hAnsi="宋体" w:cs="宋体"/>
          <w:bCs/>
          <w:color w:val="auto"/>
          <w:szCs w:val="21"/>
        </w:rPr>
        <w:t>。</w:t>
      </w:r>
    </w:p>
    <w:p w14:paraId="57B9C257">
      <w:pPr>
        <w:pStyle w:val="29"/>
        <w:spacing w:before="0" w:beforeAutospacing="0" w:after="0" w:afterAutospacing="0" w:line="420" w:lineRule="exact"/>
        <w:ind w:firstLine="420" w:firstLineChars="200"/>
        <w:rPr>
          <w:rFonts w:ascii="宋体" w:hAnsi="宋体" w:cs="宋体"/>
          <w:bCs/>
          <w:color w:val="auto"/>
          <w:kern w:val="2"/>
          <w:sz w:val="21"/>
          <w:szCs w:val="21"/>
        </w:rPr>
      </w:pPr>
      <w:r>
        <w:rPr>
          <w:rFonts w:hint="eastAsia" w:ascii="宋体" w:hAnsi="宋体" w:cs="宋体"/>
          <w:bCs/>
          <w:color w:val="auto"/>
          <w:kern w:val="2"/>
          <w:sz w:val="21"/>
          <w:szCs w:val="21"/>
        </w:rPr>
        <w:t>5.2进度款支付方式</w:t>
      </w:r>
    </w:p>
    <w:p w14:paraId="3FB78A57">
      <w:pPr>
        <w:pStyle w:val="29"/>
        <w:spacing w:before="0" w:beforeAutospacing="0" w:after="0" w:afterAutospacing="0" w:line="420" w:lineRule="exact"/>
        <w:ind w:firstLine="420" w:firstLineChars="200"/>
        <w:rPr>
          <w:rFonts w:ascii="宋体" w:hAnsi="宋体" w:cs="宋体"/>
          <w:color w:val="auto"/>
          <w:kern w:val="2"/>
          <w:sz w:val="21"/>
          <w:szCs w:val="21"/>
          <w:u w:val="single"/>
        </w:rPr>
      </w:pPr>
      <w:r>
        <w:rPr>
          <w:rFonts w:hint="eastAsia" w:ascii="宋体" w:hAnsi="宋体" w:cs="宋体"/>
          <w:bCs/>
          <w:color w:val="auto"/>
          <w:kern w:val="2"/>
          <w:sz w:val="21"/>
          <w:szCs w:val="21"/>
        </w:rPr>
        <w:t>提交初步审核成果文件后10日内支付至合同金额的</w:t>
      </w:r>
      <w:r>
        <w:rPr>
          <w:rFonts w:hint="eastAsia" w:ascii="宋体" w:hAnsi="宋体" w:cs="宋体"/>
          <w:bCs/>
          <w:color w:val="auto"/>
          <w:sz w:val="21"/>
          <w:szCs w:val="21"/>
        </w:rPr>
        <w:t>50%，完成与施工单位对审</w:t>
      </w:r>
      <w:r>
        <w:rPr>
          <w:rFonts w:hint="eastAsia" w:ascii="宋体" w:hAnsi="宋体" w:cs="宋体"/>
          <w:bCs/>
          <w:color w:val="auto"/>
          <w:sz w:val="21"/>
          <w:szCs w:val="21"/>
          <w:u w:val="single"/>
        </w:rPr>
        <w:t>出具结算审核报告</w:t>
      </w:r>
      <w:r>
        <w:rPr>
          <w:rFonts w:hint="eastAsia" w:ascii="宋体" w:hAnsi="宋体" w:cs="宋体"/>
          <w:bCs/>
          <w:color w:val="auto"/>
          <w:sz w:val="21"/>
          <w:szCs w:val="21"/>
        </w:rPr>
        <w:t>后10日内支付至合同金额的60%，复审完成并出具正式结论支付剩余咨询费用。</w:t>
      </w:r>
      <w:r>
        <w:rPr>
          <w:rFonts w:hint="eastAsia" w:ascii="宋体" w:hAnsi="宋体" w:cs="宋体"/>
          <w:color w:val="auto"/>
          <w:sz w:val="21"/>
          <w:szCs w:val="21"/>
        </w:rPr>
        <w:t>咨询（受托）人</w:t>
      </w:r>
      <w:r>
        <w:rPr>
          <w:rFonts w:hint="eastAsia" w:ascii="宋体" w:hAnsi="宋体" w:cs="宋体"/>
          <w:bCs/>
          <w:color w:val="auto"/>
          <w:sz w:val="21"/>
          <w:szCs w:val="21"/>
        </w:rPr>
        <w:t>在</w:t>
      </w:r>
      <w:r>
        <w:rPr>
          <w:rFonts w:hint="eastAsia" w:ascii="宋体" w:hAnsi="宋体" w:cs="宋体"/>
          <w:bCs/>
          <w:color w:val="auto"/>
          <w:kern w:val="2"/>
          <w:sz w:val="21"/>
          <w:szCs w:val="21"/>
        </w:rPr>
        <w:t>复审期间需提供咨询服务。（</w:t>
      </w:r>
      <w:r>
        <w:rPr>
          <w:rFonts w:ascii="宋体" w:hAnsi="宋体" w:cs="宋体"/>
          <w:b/>
          <w:bCs/>
          <w:color w:val="auto"/>
          <w:sz w:val="22"/>
          <w:szCs w:val="21"/>
          <w:u w:val="single"/>
        </w:rPr>
        <w:t>项目</w:t>
      </w:r>
      <w:r>
        <w:rPr>
          <w:rFonts w:hint="eastAsia" w:ascii="宋体" w:hAnsi="宋体" w:cs="宋体"/>
          <w:b/>
          <w:bCs/>
          <w:color w:val="auto"/>
          <w:sz w:val="22"/>
          <w:szCs w:val="21"/>
          <w:u w:val="single"/>
        </w:rPr>
        <w:t>复审根据项目所在地 审计或评审政策、业主单位制度及要求执行）</w:t>
      </w:r>
    </w:p>
    <w:p w14:paraId="679AA2C9">
      <w:pPr>
        <w:adjustRightInd w:val="0"/>
        <w:snapToGrid w:val="0"/>
        <w:spacing w:beforeLines="50" w:line="360" w:lineRule="auto"/>
        <w:ind w:firstLine="420" w:firstLineChars="200"/>
        <w:rPr>
          <w:rFonts w:ascii="宋体" w:hAnsi="宋体" w:cs="宋体"/>
          <w:bCs/>
          <w:color w:val="auto"/>
          <w:szCs w:val="21"/>
        </w:rPr>
      </w:pPr>
      <w:r>
        <w:rPr>
          <w:rFonts w:hint="eastAsia" w:ascii="宋体" w:hAnsi="宋体" w:cs="宋体"/>
          <w:color w:val="auto"/>
          <w:szCs w:val="21"/>
        </w:rPr>
        <w:t>6.咨询（受托）人</w:t>
      </w:r>
      <w:r>
        <w:rPr>
          <w:rFonts w:hint="eastAsia" w:ascii="宋体" w:hAnsi="宋体" w:cs="宋体"/>
          <w:bCs/>
          <w:color w:val="auto"/>
          <w:szCs w:val="21"/>
        </w:rPr>
        <w:t>应根据项目要求和现场情况，详细列明项目所需的设备及材料购置费用，以及项目所需的人工、管理、财务、保险、税费等所有费用，如一旦中标在项目实施中出现任何遗漏，均由中标人免费提供，委托人不再支付任何费用。</w:t>
      </w:r>
    </w:p>
    <w:p w14:paraId="1B695AA2">
      <w:pPr>
        <w:tabs>
          <w:tab w:val="left" w:pos="540"/>
        </w:tabs>
        <w:spacing w:afterLines="50" w:line="420" w:lineRule="exact"/>
        <w:ind w:firstLine="420" w:firstLineChars="200"/>
        <w:rPr>
          <w:rFonts w:ascii="宋体" w:hAnsi="宋体" w:cs="宋体"/>
          <w:bCs/>
          <w:color w:val="auto"/>
          <w:szCs w:val="21"/>
        </w:rPr>
      </w:pPr>
      <w:r>
        <w:rPr>
          <w:rFonts w:hint="eastAsia" w:ascii="宋体" w:hAnsi="宋体" w:cs="宋体"/>
          <w:bCs/>
          <w:color w:val="auto"/>
          <w:szCs w:val="21"/>
        </w:rPr>
        <w:t>7.本次咨询工作有关的考察费、聘请专家费、交通费、食宿费等由</w:t>
      </w:r>
      <w:r>
        <w:rPr>
          <w:rFonts w:hint="eastAsia" w:ascii="宋体" w:hAnsi="宋体" w:cs="宋体"/>
          <w:bCs/>
          <w:color w:val="auto"/>
          <w:szCs w:val="21"/>
          <w:u w:val="single"/>
        </w:rPr>
        <w:t>咨询（受托）人</w:t>
      </w:r>
      <w:r>
        <w:rPr>
          <w:rFonts w:hint="eastAsia" w:ascii="宋体" w:hAnsi="宋体" w:cs="宋体"/>
          <w:bCs/>
          <w:color w:val="auto"/>
          <w:szCs w:val="21"/>
        </w:rPr>
        <w:t>承担。</w:t>
      </w:r>
    </w:p>
    <w:p w14:paraId="09A3C13E">
      <w:pPr>
        <w:pStyle w:val="2"/>
        <w:ind w:firstLine="422"/>
        <w:rPr>
          <w:rFonts w:ascii="宋体" w:hAnsi="宋体" w:cs="宋体"/>
          <w:color w:val="auto"/>
          <w:sz w:val="21"/>
        </w:rPr>
      </w:pPr>
      <w:r>
        <w:rPr>
          <w:rFonts w:hint="eastAsia" w:ascii="宋体" w:hAnsi="宋体" w:cs="宋体"/>
          <w:b/>
          <w:color w:val="auto"/>
          <w:sz w:val="21"/>
        </w:rPr>
        <w:t>第八条</w:t>
      </w:r>
      <w:r>
        <w:rPr>
          <w:rFonts w:hint="eastAsia" w:ascii="宋体" w:hAnsi="宋体" w:cs="宋体"/>
          <w:color w:val="auto"/>
          <w:sz w:val="21"/>
        </w:rPr>
        <w:t>咨询（受托）人的权利、义务、责任</w:t>
      </w:r>
    </w:p>
    <w:p w14:paraId="4D992BF2">
      <w:pPr>
        <w:pStyle w:val="2"/>
        <w:rPr>
          <w:rFonts w:ascii="宋体" w:hAnsi="宋体" w:cs="宋体"/>
          <w:color w:val="auto"/>
          <w:sz w:val="21"/>
        </w:rPr>
      </w:pPr>
      <w:r>
        <w:rPr>
          <w:rFonts w:hint="eastAsia" w:ascii="宋体" w:hAnsi="宋体" w:cs="宋体"/>
          <w:color w:val="auto"/>
          <w:sz w:val="21"/>
        </w:rPr>
        <w:t>1.咨询（受托）人的权利</w:t>
      </w:r>
    </w:p>
    <w:p w14:paraId="56EC8743">
      <w:pPr>
        <w:pStyle w:val="2"/>
        <w:rPr>
          <w:rFonts w:ascii="宋体" w:hAnsi="宋体" w:cs="宋体"/>
          <w:color w:val="auto"/>
          <w:sz w:val="21"/>
        </w:rPr>
      </w:pPr>
      <w:r>
        <w:rPr>
          <w:rFonts w:hint="eastAsia" w:ascii="宋体" w:hAnsi="宋体" w:cs="宋体"/>
          <w:color w:val="auto"/>
          <w:sz w:val="21"/>
        </w:rPr>
        <w:t>1.1咨询（受托）人在咨询过程中，如委托人提供的资料不明确时可向委托人提出书面报告。</w:t>
      </w:r>
    </w:p>
    <w:p w14:paraId="2F389F58">
      <w:pPr>
        <w:pStyle w:val="2"/>
        <w:rPr>
          <w:rFonts w:ascii="宋体" w:hAnsi="宋体" w:cs="宋体"/>
          <w:color w:val="auto"/>
          <w:sz w:val="21"/>
        </w:rPr>
      </w:pPr>
      <w:r>
        <w:rPr>
          <w:rFonts w:hint="eastAsia" w:ascii="宋体" w:hAnsi="宋体" w:cs="宋体"/>
          <w:color w:val="auto"/>
          <w:sz w:val="21"/>
        </w:rPr>
        <w:t>1.2咨询（受托）人在咨询过程中，有权对第三人提出与本咨询业务有关的问题进行核对或查问。</w:t>
      </w:r>
    </w:p>
    <w:p w14:paraId="51C354C4">
      <w:pPr>
        <w:pStyle w:val="2"/>
        <w:rPr>
          <w:rFonts w:ascii="宋体" w:hAnsi="宋体" w:cs="宋体"/>
          <w:color w:val="auto"/>
          <w:sz w:val="21"/>
        </w:rPr>
      </w:pPr>
      <w:r>
        <w:rPr>
          <w:rFonts w:hint="eastAsia" w:ascii="宋体" w:hAnsi="宋体" w:cs="宋体"/>
          <w:color w:val="auto"/>
          <w:sz w:val="21"/>
        </w:rPr>
        <w:t>1.3咨询（受托）人在咨询过程中，有到工程现场勘察的权利。</w:t>
      </w:r>
    </w:p>
    <w:p w14:paraId="5656EFD7">
      <w:pPr>
        <w:pStyle w:val="2"/>
        <w:rPr>
          <w:rFonts w:ascii="宋体" w:hAnsi="宋体" w:cs="宋体"/>
          <w:color w:val="auto"/>
          <w:sz w:val="21"/>
        </w:rPr>
      </w:pPr>
      <w:r>
        <w:rPr>
          <w:rFonts w:hint="eastAsia" w:ascii="宋体" w:hAnsi="宋体" w:cs="宋体"/>
          <w:color w:val="auto"/>
          <w:sz w:val="21"/>
        </w:rPr>
        <w:t>2.咨询（受托）人的义务</w:t>
      </w:r>
    </w:p>
    <w:p w14:paraId="155E2111">
      <w:pPr>
        <w:pStyle w:val="2"/>
        <w:rPr>
          <w:rFonts w:ascii="宋体" w:hAnsi="宋体" w:cs="宋体"/>
          <w:color w:val="auto"/>
          <w:sz w:val="21"/>
        </w:rPr>
      </w:pPr>
      <w:r>
        <w:rPr>
          <w:rFonts w:hint="eastAsia" w:ascii="宋体" w:hAnsi="宋体" w:cs="宋体"/>
          <w:color w:val="auto"/>
          <w:sz w:val="21"/>
        </w:rPr>
        <w:t>2.1向委托人提供与工程造价咨询业务有关的资料，包括咨询（受托）人工程造价咨询资质证书、法人营业执照、法定代表人身份证明及承担本合同业务的专业人员名单、造价工程师或注册造价工程师资格证、咨询工作计划等，并按合同约定的范围实施咨询业务,提交咨询报告。</w:t>
      </w:r>
    </w:p>
    <w:p w14:paraId="218970BD">
      <w:pPr>
        <w:pStyle w:val="2"/>
        <w:rPr>
          <w:rFonts w:ascii="宋体" w:hAnsi="宋体" w:cs="宋体"/>
          <w:color w:val="auto"/>
          <w:sz w:val="21"/>
        </w:rPr>
      </w:pPr>
      <w:r>
        <w:rPr>
          <w:rFonts w:hint="eastAsia" w:ascii="宋体" w:hAnsi="宋体" w:cs="宋体"/>
          <w:color w:val="auto"/>
          <w:sz w:val="21"/>
        </w:rPr>
        <w:t>2.2咨询（受托）人应认真履行职责，在接受委托后应积极主动与委托人联系，努力收集、核实相关资料、数据，必要时应自费实地勘察、测量，并安排充足的人员在规定的时间内完成编制工作，准确出具工程造价咨询报告。</w:t>
      </w:r>
    </w:p>
    <w:p w14:paraId="3C4EB967">
      <w:pPr>
        <w:pStyle w:val="2"/>
        <w:rPr>
          <w:rFonts w:ascii="宋体" w:hAnsi="宋体" w:cs="宋体"/>
          <w:color w:val="auto"/>
          <w:sz w:val="21"/>
        </w:rPr>
      </w:pPr>
      <w:r>
        <w:rPr>
          <w:rFonts w:hint="eastAsia" w:ascii="宋体" w:hAnsi="宋体" w:cs="宋体"/>
          <w:color w:val="auto"/>
          <w:sz w:val="21"/>
        </w:rPr>
        <w:t>2.3咨询（受托）人应认真履行职责，安排充足的人员在规定的时间内完成审计工作，准确出具工程造价咨询报告。</w:t>
      </w:r>
    </w:p>
    <w:p w14:paraId="5BBF757F">
      <w:pPr>
        <w:pStyle w:val="2"/>
        <w:rPr>
          <w:rFonts w:ascii="宋体" w:hAnsi="宋体" w:cs="宋体"/>
          <w:color w:val="auto"/>
          <w:sz w:val="21"/>
        </w:rPr>
      </w:pPr>
      <w:r>
        <w:rPr>
          <w:rFonts w:hint="eastAsia" w:ascii="宋体" w:hAnsi="宋体" w:cs="宋体"/>
          <w:color w:val="auto"/>
          <w:sz w:val="21"/>
        </w:rPr>
        <w:t>2.4咨询（受托）人在审计过程中发现问题后应立即通知委托人，应对委托人提出的修改审查意见要反复论证，如正确，咨询（受托）人要在2日内对其咨询报告或咨询成果做出修改;如不正确，应在2日内说明理由，以确保咨询报告或咨询成果的准确性、合理性。</w:t>
      </w:r>
    </w:p>
    <w:p w14:paraId="0526C2B2">
      <w:pPr>
        <w:pStyle w:val="2"/>
        <w:rPr>
          <w:rFonts w:ascii="宋体" w:hAnsi="宋体" w:cs="宋体"/>
          <w:color w:val="auto"/>
          <w:sz w:val="21"/>
        </w:rPr>
      </w:pPr>
      <w:r>
        <w:rPr>
          <w:rFonts w:hint="eastAsia" w:ascii="宋体" w:hAnsi="宋体" w:cs="宋体"/>
          <w:color w:val="auto"/>
          <w:sz w:val="21"/>
        </w:rPr>
        <w:t>2.5在履行合同期间或合同规定有效期限内，不得向第三人泄露与本合同工程造价咨询业务活动有关的任何资料、信息。</w:t>
      </w:r>
    </w:p>
    <w:p w14:paraId="309F7096">
      <w:pPr>
        <w:pStyle w:val="2"/>
        <w:rPr>
          <w:rFonts w:ascii="宋体" w:hAnsi="宋体" w:cs="宋体"/>
          <w:color w:val="auto"/>
          <w:sz w:val="21"/>
        </w:rPr>
      </w:pPr>
      <w:r>
        <w:rPr>
          <w:rFonts w:hint="eastAsia" w:ascii="宋体" w:hAnsi="宋体" w:cs="宋体"/>
          <w:color w:val="auto"/>
          <w:sz w:val="21"/>
        </w:rPr>
        <w:t>2.6咨询（受托）人应当严格遵照委托人的要求出具工程造价咨询报告或咨询成果。</w:t>
      </w:r>
    </w:p>
    <w:p w14:paraId="6C80A16C">
      <w:pPr>
        <w:pStyle w:val="2"/>
        <w:rPr>
          <w:rFonts w:ascii="宋体" w:hAnsi="宋体" w:cs="宋体"/>
          <w:color w:val="auto"/>
          <w:sz w:val="21"/>
        </w:rPr>
      </w:pPr>
      <w:r>
        <w:rPr>
          <w:rFonts w:hint="eastAsia" w:ascii="宋体" w:hAnsi="宋体" w:cs="宋体"/>
          <w:color w:val="auto"/>
          <w:sz w:val="21"/>
        </w:rPr>
        <w:t>2.7如工程项目后续需报送复审的，审核事项需咨询（受托）人配合的咨询（受托）人必须在规定的时间提出书面答复意见,并送委托人审定后由委托人答复。</w:t>
      </w:r>
    </w:p>
    <w:p w14:paraId="5C0006A0">
      <w:pPr>
        <w:pStyle w:val="2"/>
        <w:rPr>
          <w:rFonts w:ascii="宋体" w:hAnsi="宋体" w:cs="宋体"/>
          <w:color w:val="auto"/>
          <w:sz w:val="21"/>
        </w:rPr>
      </w:pPr>
      <w:r>
        <w:rPr>
          <w:rFonts w:hint="eastAsia" w:ascii="宋体" w:hAnsi="宋体" w:cs="宋体"/>
          <w:color w:val="auto"/>
          <w:sz w:val="21"/>
        </w:rPr>
        <w:t>2.8无条件配合相关单位和部门完成本项目的对审工作。</w:t>
      </w:r>
    </w:p>
    <w:p w14:paraId="1D7DB4CB">
      <w:pPr>
        <w:pStyle w:val="2"/>
        <w:rPr>
          <w:rFonts w:ascii="宋体" w:hAnsi="宋体" w:cs="宋体"/>
          <w:color w:val="auto"/>
          <w:sz w:val="21"/>
        </w:rPr>
      </w:pPr>
      <w:r>
        <w:rPr>
          <w:rFonts w:hint="eastAsia" w:ascii="宋体" w:hAnsi="宋体" w:cs="宋体"/>
          <w:color w:val="auto"/>
          <w:sz w:val="21"/>
        </w:rPr>
        <w:t>2.9咨询（受托）人须配备满足本项目所需的办公电脑、造价软件等软、硬件工作资料。</w:t>
      </w:r>
    </w:p>
    <w:p w14:paraId="09D02AE4">
      <w:pPr>
        <w:pStyle w:val="2"/>
        <w:rPr>
          <w:rFonts w:ascii="宋体" w:hAnsi="宋体" w:cs="宋体"/>
          <w:color w:val="auto"/>
          <w:sz w:val="21"/>
        </w:rPr>
      </w:pPr>
      <w:r>
        <w:rPr>
          <w:rFonts w:hint="eastAsia" w:ascii="宋体" w:hAnsi="宋体" w:cs="宋体"/>
          <w:color w:val="auto"/>
          <w:sz w:val="21"/>
        </w:rPr>
        <w:t>2.10咨询（受托）人提供的服务团队须进驻</w:t>
      </w:r>
      <w:r>
        <w:rPr>
          <w:rFonts w:hint="eastAsia" w:ascii="宋体" w:hAnsi="宋体" w:cs="宋体"/>
          <w:color w:val="auto"/>
          <w:sz w:val="21"/>
          <w:lang w:val="en-US" w:eastAsia="zh-CN"/>
        </w:rPr>
        <w:t>咨询人</w:t>
      </w:r>
      <w:r>
        <w:rPr>
          <w:rFonts w:hint="eastAsia" w:ascii="宋体" w:hAnsi="宋体" w:cs="宋体"/>
          <w:color w:val="auto"/>
          <w:sz w:val="21"/>
        </w:rPr>
        <w:t>在娄底市娄星城区设立该项目的办公场所驻点审核，不得挂名参与投标。</w:t>
      </w:r>
    </w:p>
    <w:p w14:paraId="065566AD">
      <w:pPr>
        <w:pStyle w:val="2"/>
        <w:rPr>
          <w:rFonts w:ascii="宋体" w:hAnsi="宋体" w:cs="宋体"/>
          <w:color w:val="auto"/>
          <w:sz w:val="21"/>
        </w:rPr>
      </w:pPr>
      <w:r>
        <w:rPr>
          <w:rFonts w:hint="eastAsia" w:ascii="宋体" w:hAnsi="宋体" w:cs="宋体"/>
          <w:color w:val="auto"/>
          <w:sz w:val="21"/>
        </w:rPr>
        <w:t>2.11咨询（受托）人提供服务团队一级造价工程师执行出勤考核，提交初步成果前和对审期间，每人每月出勤未达到20日的，</w:t>
      </w:r>
      <w:r>
        <w:rPr>
          <w:rFonts w:hint="eastAsia" w:ascii="宋体" w:hAnsi="宋体" w:cs="宋体"/>
          <w:color w:val="auto"/>
          <w:sz w:val="22"/>
        </w:rPr>
        <w:t>支付违约金1000元/人/日。</w:t>
      </w:r>
    </w:p>
    <w:p w14:paraId="795536F0">
      <w:pPr>
        <w:pStyle w:val="2"/>
        <w:rPr>
          <w:rFonts w:ascii="宋体" w:hAnsi="宋体" w:cs="宋体"/>
          <w:color w:val="auto"/>
          <w:sz w:val="21"/>
        </w:rPr>
      </w:pPr>
      <w:r>
        <w:rPr>
          <w:rFonts w:hint="eastAsia" w:ascii="宋体" w:hAnsi="宋体" w:cs="宋体"/>
          <w:color w:val="auto"/>
          <w:sz w:val="21"/>
        </w:rPr>
        <w:t>3.咨询（受托）人的责任</w:t>
      </w:r>
    </w:p>
    <w:p w14:paraId="046513C0">
      <w:pPr>
        <w:pStyle w:val="2"/>
        <w:rPr>
          <w:rFonts w:ascii="宋体" w:hAnsi="宋体" w:cs="宋体"/>
          <w:color w:val="auto"/>
          <w:sz w:val="21"/>
        </w:rPr>
      </w:pPr>
      <w:r>
        <w:rPr>
          <w:rFonts w:hint="eastAsia" w:ascii="宋体" w:hAnsi="宋体" w:cs="宋体"/>
          <w:color w:val="auto"/>
          <w:sz w:val="21"/>
        </w:rPr>
        <w:t>3.1咨询（受托）人应对出具的咨询报告或咨询成果的准确性、合理性和合法性承担一切责任。因咨询（受托）人的原因导致咨询报告或咨询成果存在瑕疵的或者违法的，咨询（受托）人应当赔偿委托人的一切损失(包括但不限于咨询费用差旅费、律师费及其他损失)。</w:t>
      </w:r>
    </w:p>
    <w:p w14:paraId="4164A52A">
      <w:pPr>
        <w:pStyle w:val="2"/>
        <w:rPr>
          <w:rFonts w:ascii="宋体" w:hAnsi="宋体" w:cs="宋体"/>
          <w:color w:val="auto"/>
          <w:sz w:val="21"/>
        </w:rPr>
      </w:pPr>
      <w:r>
        <w:rPr>
          <w:rFonts w:hint="eastAsia" w:ascii="宋体" w:hAnsi="宋体" w:cs="宋体"/>
          <w:color w:val="auto"/>
          <w:sz w:val="21"/>
        </w:rPr>
        <w:t>3.2咨询（受托）人应当全面履行建设工程造价咨询合同中约定的义务，因咨询（受托）人的资质、不按期出具咨询报告或咨询成果等原因造成委托人的经济损失，应当向委托人进行赔偿(包括但不限于咨询费用、差旅费、律师费及其他损失）。</w:t>
      </w:r>
    </w:p>
    <w:p w14:paraId="33F4702E">
      <w:pPr>
        <w:pStyle w:val="2"/>
        <w:rPr>
          <w:rFonts w:ascii="宋体" w:hAnsi="宋体" w:cs="宋体"/>
          <w:color w:val="auto"/>
          <w:sz w:val="21"/>
        </w:rPr>
      </w:pPr>
      <w:r>
        <w:rPr>
          <w:rFonts w:hint="eastAsia" w:ascii="宋体" w:hAnsi="宋体" w:cs="宋体"/>
          <w:color w:val="auto"/>
          <w:sz w:val="21"/>
        </w:rPr>
        <w:t>3.3咨询（受托）人对委托人提出的问题不能及时核对或答复，导致咨询合同不能履行或者不能按期履行的，咨询（受托）人应当赔偿委托人的一切损失(包括但不限于咨询费用、差旅费、律师费及其他损失)。</w:t>
      </w:r>
    </w:p>
    <w:p w14:paraId="437D6C71">
      <w:pPr>
        <w:pStyle w:val="2"/>
        <w:rPr>
          <w:rFonts w:ascii="宋体" w:hAnsi="宋体" w:cs="宋体"/>
          <w:color w:val="auto"/>
          <w:sz w:val="21"/>
        </w:rPr>
      </w:pPr>
      <w:r>
        <w:rPr>
          <w:rFonts w:hint="eastAsia" w:ascii="宋体" w:hAnsi="宋体" w:cs="宋体"/>
          <w:color w:val="auto"/>
          <w:sz w:val="21"/>
        </w:rPr>
        <w:t>3.4咨询（受托）人不能再为与该工程项目有关的供应商提供与该工程项目投标有关的服务，如发现咨询（受托）人有违规情况并经查实的，委托人有权终止合同并追究咨询（受托）人违约责任。</w:t>
      </w:r>
    </w:p>
    <w:p w14:paraId="1459FC47">
      <w:pPr>
        <w:pStyle w:val="2"/>
        <w:ind w:firstLine="442"/>
        <w:rPr>
          <w:rFonts w:ascii="宋体" w:hAnsi="宋体" w:cs="宋体"/>
          <w:color w:val="auto"/>
          <w:sz w:val="21"/>
        </w:rPr>
      </w:pPr>
      <w:r>
        <w:rPr>
          <w:rFonts w:hint="eastAsia" w:ascii="宋体" w:hAnsi="宋体" w:cs="宋体"/>
          <w:b/>
          <w:bCs/>
          <w:color w:val="auto"/>
          <w:sz w:val="22"/>
        </w:rPr>
        <w:t>3.5因咨询（受托）人原因造成国有资金流失的，委托人有权解除合同，并依法追究咨询（受托）人法律责任。</w:t>
      </w:r>
    </w:p>
    <w:p w14:paraId="2AC48B7F">
      <w:pPr>
        <w:pStyle w:val="2"/>
        <w:ind w:firstLine="422"/>
        <w:rPr>
          <w:rFonts w:ascii="宋体" w:hAnsi="宋体" w:cs="宋体"/>
          <w:bCs/>
          <w:color w:val="auto"/>
          <w:sz w:val="21"/>
        </w:rPr>
      </w:pPr>
      <w:r>
        <w:rPr>
          <w:rFonts w:hint="eastAsia" w:ascii="宋体" w:hAnsi="宋体" w:cs="宋体"/>
          <w:b/>
          <w:color w:val="auto"/>
          <w:sz w:val="21"/>
        </w:rPr>
        <w:t xml:space="preserve">第九条 </w:t>
      </w:r>
      <w:r>
        <w:rPr>
          <w:rFonts w:hint="eastAsia" w:ascii="宋体" w:hAnsi="宋体" w:cs="宋体"/>
          <w:bCs/>
          <w:color w:val="auto"/>
          <w:sz w:val="21"/>
        </w:rPr>
        <w:t>委托人的权利、义务、责任</w:t>
      </w:r>
    </w:p>
    <w:p w14:paraId="25451678">
      <w:pPr>
        <w:pStyle w:val="2"/>
        <w:rPr>
          <w:rFonts w:ascii="宋体" w:hAnsi="宋体" w:cs="宋体"/>
          <w:color w:val="auto"/>
          <w:sz w:val="21"/>
        </w:rPr>
      </w:pPr>
      <w:r>
        <w:rPr>
          <w:rFonts w:hint="eastAsia" w:ascii="宋体" w:hAnsi="宋体" w:cs="宋体"/>
          <w:color w:val="auto"/>
          <w:sz w:val="21"/>
        </w:rPr>
        <w:t>1.委托人的权利</w:t>
      </w:r>
    </w:p>
    <w:p w14:paraId="1210B9EE">
      <w:pPr>
        <w:pStyle w:val="2"/>
        <w:rPr>
          <w:rFonts w:ascii="宋体" w:hAnsi="宋体" w:cs="宋体"/>
          <w:color w:val="auto"/>
          <w:sz w:val="21"/>
        </w:rPr>
      </w:pPr>
      <w:r>
        <w:rPr>
          <w:rFonts w:hint="eastAsia" w:ascii="宋体" w:hAnsi="宋体" w:cs="宋体"/>
          <w:color w:val="auto"/>
          <w:sz w:val="21"/>
        </w:rPr>
        <w:t>1.1委托人有权向咨询人询问工作进展情况及相关的内容。</w:t>
      </w:r>
    </w:p>
    <w:p w14:paraId="2E512EC4">
      <w:pPr>
        <w:pStyle w:val="2"/>
        <w:rPr>
          <w:rFonts w:ascii="宋体" w:hAnsi="宋体" w:cs="宋体"/>
          <w:color w:val="auto"/>
          <w:sz w:val="21"/>
        </w:rPr>
      </w:pPr>
      <w:r>
        <w:rPr>
          <w:rFonts w:hint="eastAsia" w:ascii="宋体" w:hAnsi="宋体" w:cs="宋体"/>
          <w:color w:val="auto"/>
          <w:sz w:val="21"/>
        </w:rPr>
        <w:t>1.2委托人有权阐述对具体问题的意见和建议、有权对咨询人出具的咨询报告审查的权利。</w:t>
      </w:r>
    </w:p>
    <w:p w14:paraId="3EA82192">
      <w:pPr>
        <w:pStyle w:val="2"/>
        <w:rPr>
          <w:rFonts w:ascii="宋体" w:hAnsi="宋体" w:cs="宋体"/>
          <w:color w:val="auto"/>
          <w:sz w:val="21"/>
        </w:rPr>
      </w:pPr>
      <w:r>
        <w:rPr>
          <w:rFonts w:hint="eastAsia" w:ascii="宋体" w:hAnsi="宋体" w:cs="宋体"/>
          <w:color w:val="auto"/>
          <w:sz w:val="21"/>
        </w:rPr>
        <w:t>1.3当委托人认为咨询专业人员不按咨询合同履行其职责，或与第三人串通给委托人造成经济损失的，委托人有权要求更换咨询专业人员，直至终止合同并要求咨询人承担相应的赔偿责任。</w:t>
      </w:r>
    </w:p>
    <w:p w14:paraId="4B77F643">
      <w:pPr>
        <w:pStyle w:val="2"/>
        <w:rPr>
          <w:rFonts w:ascii="宋体" w:hAnsi="宋体" w:cs="宋体"/>
          <w:color w:val="auto"/>
          <w:sz w:val="21"/>
        </w:rPr>
      </w:pPr>
      <w:r>
        <w:rPr>
          <w:rFonts w:hint="eastAsia" w:ascii="宋体" w:hAnsi="宋体" w:cs="宋体"/>
          <w:color w:val="auto"/>
          <w:sz w:val="21"/>
        </w:rPr>
        <w:t>1.4委托人有权对咨询人出具的咨询报告或咨询成果提出修改意见</w:t>
      </w:r>
    </w:p>
    <w:p w14:paraId="2A1CD1F0">
      <w:pPr>
        <w:pStyle w:val="2"/>
        <w:rPr>
          <w:rFonts w:ascii="宋体" w:hAnsi="宋体" w:cs="宋体"/>
          <w:color w:val="auto"/>
          <w:sz w:val="21"/>
        </w:rPr>
      </w:pPr>
      <w:r>
        <w:rPr>
          <w:rFonts w:hint="eastAsia" w:ascii="宋体" w:hAnsi="宋体" w:cs="宋体"/>
          <w:color w:val="auto"/>
          <w:sz w:val="21"/>
        </w:rPr>
        <w:t>1.5委托人认为咨询人实际投入的审计人员不足以满足审计任务或认为审计人员不称职时可向咨询人发出要求或更换(必要时指定)审计人员的通知，由此产生的费用由咨询人自行承担。</w:t>
      </w:r>
    </w:p>
    <w:p w14:paraId="0996E76F">
      <w:pPr>
        <w:pStyle w:val="2"/>
        <w:rPr>
          <w:rFonts w:ascii="宋体" w:hAnsi="宋体" w:cs="宋体"/>
          <w:color w:val="auto"/>
          <w:sz w:val="21"/>
        </w:rPr>
      </w:pPr>
      <w:r>
        <w:rPr>
          <w:rFonts w:hint="eastAsia" w:ascii="宋体" w:hAnsi="宋体" w:cs="宋体"/>
          <w:color w:val="auto"/>
          <w:sz w:val="21"/>
        </w:rPr>
        <w:t>2.委托人的义务</w:t>
      </w:r>
    </w:p>
    <w:p w14:paraId="6643DBF5">
      <w:pPr>
        <w:pStyle w:val="2"/>
        <w:rPr>
          <w:rFonts w:ascii="宋体" w:hAnsi="宋体" w:cs="宋体"/>
          <w:color w:val="auto"/>
          <w:sz w:val="21"/>
        </w:rPr>
      </w:pPr>
      <w:r>
        <w:rPr>
          <w:rFonts w:hint="eastAsia" w:ascii="宋体" w:hAnsi="宋体" w:cs="宋体"/>
          <w:color w:val="auto"/>
          <w:sz w:val="21"/>
        </w:rPr>
        <w:t>2.1委托人应负责与本建设工程造价咨询业务有关的协调，为咨询（受托）人工作提供外部条件。</w:t>
      </w:r>
    </w:p>
    <w:p w14:paraId="4E57E86E">
      <w:pPr>
        <w:pStyle w:val="2"/>
        <w:rPr>
          <w:rFonts w:ascii="宋体" w:hAnsi="宋体" w:cs="宋体"/>
          <w:color w:val="auto"/>
          <w:sz w:val="21"/>
        </w:rPr>
      </w:pPr>
      <w:r>
        <w:rPr>
          <w:rFonts w:hint="eastAsia" w:ascii="宋体" w:hAnsi="宋体" w:cs="宋体"/>
          <w:color w:val="auto"/>
          <w:sz w:val="21"/>
        </w:rPr>
        <w:t>2.2委托人应当在约定的时间内，免费向咨询（受托）人提供与本建设工程造价咨询业务有关的背景资料，但工程所在地主管部门定期公布的材料价格、定额等工程计价文件除外。</w:t>
      </w:r>
    </w:p>
    <w:p w14:paraId="10B4AE1A">
      <w:pPr>
        <w:pStyle w:val="2"/>
        <w:rPr>
          <w:rFonts w:ascii="宋体" w:hAnsi="宋体" w:cs="宋体"/>
          <w:color w:val="auto"/>
          <w:sz w:val="21"/>
        </w:rPr>
      </w:pPr>
      <w:r>
        <w:rPr>
          <w:rFonts w:hint="eastAsia" w:ascii="宋体" w:hAnsi="宋体" w:cs="宋体"/>
          <w:color w:val="auto"/>
          <w:sz w:val="21"/>
        </w:rPr>
        <w:t>2.3委托人应当在约定的时间内就咨询（受托）人书面提交并要求做出答复的事宜做出书面答复。</w:t>
      </w:r>
    </w:p>
    <w:p w14:paraId="0E2EB985">
      <w:pPr>
        <w:pStyle w:val="2"/>
        <w:rPr>
          <w:rFonts w:ascii="宋体" w:hAnsi="宋体" w:cs="宋体"/>
          <w:color w:val="auto"/>
          <w:sz w:val="21"/>
        </w:rPr>
      </w:pPr>
      <w:r>
        <w:rPr>
          <w:rFonts w:hint="eastAsia" w:ascii="宋体" w:hAnsi="宋体" w:cs="宋体"/>
          <w:color w:val="auto"/>
          <w:sz w:val="21"/>
        </w:rPr>
        <w:t>3.委托人的责任</w:t>
      </w:r>
    </w:p>
    <w:p w14:paraId="0A82E6B7">
      <w:pPr>
        <w:pStyle w:val="2"/>
        <w:rPr>
          <w:rFonts w:ascii="宋体" w:hAnsi="宋体" w:cs="宋体"/>
          <w:color w:val="auto"/>
          <w:sz w:val="21"/>
        </w:rPr>
      </w:pPr>
      <w:r>
        <w:rPr>
          <w:rFonts w:hint="eastAsia" w:ascii="宋体" w:hAnsi="宋体" w:cs="宋体"/>
          <w:color w:val="auto"/>
          <w:sz w:val="21"/>
        </w:rPr>
        <w:t>3.1委托人应当履行合同约定的义务，如有违反则应当承担违约责任，赔偿给咨询人造成的损失。</w:t>
      </w:r>
    </w:p>
    <w:p w14:paraId="51B62DAB">
      <w:pPr>
        <w:pStyle w:val="2"/>
        <w:rPr>
          <w:rFonts w:ascii="宋体" w:hAnsi="宋体" w:cs="宋体"/>
          <w:color w:val="auto"/>
          <w:sz w:val="21"/>
        </w:rPr>
      </w:pPr>
      <w:r>
        <w:rPr>
          <w:rFonts w:hint="eastAsia" w:ascii="宋体" w:hAnsi="宋体" w:cs="宋体"/>
          <w:color w:val="auto"/>
          <w:sz w:val="21"/>
        </w:rPr>
        <w:t>3.2委托人对所提供的工程造价咨询项目的有关资料、图纸等的完整性和真实性负责。</w:t>
      </w:r>
    </w:p>
    <w:p w14:paraId="759220FE">
      <w:pPr>
        <w:tabs>
          <w:tab w:val="left" w:pos="540"/>
        </w:tabs>
        <w:spacing w:afterLines="50" w:line="420" w:lineRule="exact"/>
        <w:ind w:firstLine="422" w:firstLineChars="200"/>
        <w:rPr>
          <w:rFonts w:ascii="宋体" w:hAnsi="宋体" w:cs="宋体"/>
          <w:color w:val="auto"/>
          <w:szCs w:val="21"/>
        </w:rPr>
      </w:pPr>
      <w:r>
        <w:rPr>
          <w:rFonts w:hint="eastAsia" w:ascii="宋体" w:hAnsi="宋体" w:cs="宋体"/>
          <w:b/>
          <w:color w:val="auto"/>
          <w:szCs w:val="21"/>
        </w:rPr>
        <w:t xml:space="preserve">第十条  </w:t>
      </w:r>
      <w:r>
        <w:rPr>
          <w:rFonts w:hint="eastAsia" w:ascii="宋体" w:hAnsi="宋体" w:cs="宋体"/>
          <w:color w:val="auto"/>
          <w:szCs w:val="21"/>
        </w:rPr>
        <w:t>双方同意用</w:t>
      </w:r>
      <w:r>
        <w:rPr>
          <w:rFonts w:hint="eastAsia" w:ascii="宋体" w:hAnsi="宋体" w:cs="宋体"/>
          <w:color w:val="auto"/>
          <w:szCs w:val="21"/>
          <w:u w:val="single"/>
        </w:rPr>
        <w:t>人民币</w:t>
      </w:r>
      <w:r>
        <w:rPr>
          <w:rFonts w:hint="eastAsia" w:ascii="宋体" w:hAnsi="宋体" w:cs="宋体"/>
          <w:color w:val="auto"/>
          <w:szCs w:val="21"/>
        </w:rPr>
        <w:t>（人民币或其他外币）支付酬金。</w:t>
      </w:r>
    </w:p>
    <w:p w14:paraId="6C39FE92">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 xml:space="preserve">第十一条  </w:t>
      </w:r>
      <w:r>
        <w:rPr>
          <w:rFonts w:hint="eastAsia" w:ascii="宋体" w:hAnsi="宋体" w:cs="宋体"/>
          <w:color w:val="auto"/>
          <w:szCs w:val="21"/>
        </w:rPr>
        <w:t>本约定书的所有方面均应适用中华人民共和国法律进行解释并受其约束。本约定书履行地为工程项目所在地，因本约定书所引起的或与本约定书有关的任何纠纷或争议（包括关于本约定书条款的存在、效力或终止，或无效之后果），双方选择以下第</w:t>
      </w:r>
      <w:r>
        <w:rPr>
          <w:rFonts w:hint="eastAsia" w:ascii="宋体" w:hAnsi="宋体" w:cs="宋体"/>
          <w:color w:val="auto"/>
          <w:szCs w:val="21"/>
          <w:u w:val="single"/>
        </w:rPr>
        <w:t>1</w:t>
      </w:r>
      <w:r>
        <w:rPr>
          <w:rFonts w:hint="eastAsia" w:ascii="宋体" w:hAnsi="宋体" w:cs="宋体"/>
          <w:color w:val="auto"/>
          <w:szCs w:val="21"/>
        </w:rPr>
        <w:t>种解决方式：</w:t>
      </w:r>
    </w:p>
    <w:p w14:paraId="266A5F27">
      <w:pPr>
        <w:spacing w:afterLines="50" w:line="420" w:lineRule="exact"/>
        <w:ind w:firstLine="420" w:firstLineChars="200"/>
        <w:rPr>
          <w:rFonts w:ascii="宋体" w:hAnsi="宋体" w:cs="宋体"/>
          <w:color w:val="auto"/>
          <w:szCs w:val="21"/>
        </w:rPr>
      </w:pPr>
      <w:r>
        <w:rPr>
          <w:rFonts w:hint="eastAsia" w:ascii="宋体" w:hAnsi="宋体" w:cs="宋体"/>
          <w:color w:val="auto"/>
          <w:szCs w:val="21"/>
        </w:rPr>
        <w:t>1．向</w:t>
      </w:r>
      <w:r>
        <w:rPr>
          <w:rFonts w:hint="eastAsia" w:ascii="宋体" w:hAnsi="宋体" w:cs="宋体"/>
          <w:color w:val="auto"/>
          <w:szCs w:val="21"/>
          <w:u w:val="single"/>
        </w:rPr>
        <w:t>项目所在地的人民法院</w:t>
      </w:r>
      <w:r>
        <w:rPr>
          <w:rFonts w:hint="eastAsia" w:ascii="宋体" w:hAnsi="宋体" w:cs="宋体"/>
          <w:color w:val="auto"/>
          <w:szCs w:val="21"/>
        </w:rPr>
        <w:t>提起诉讼；</w:t>
      </w:r>
    </w:p>
    <w:p w14:paraId="234E2DB8">
      <w:pPr>
        <w:tabs>
          <w:tab w:val="left" w:pos="540"/>
        </w:tabs>
        <w:spacing w:afterLines="50" w:line="420" w:lineRule="exact"/>
        <w:ind w:firstLine="420" w:firstLineChars="200"/>
        <w:rPr>
          <w:rFonts w:ascii="宋体" w:hAnsi="宋体" w:cs="宋体"/>
          <w:color w:val="auto"/>
          <w:szCs w:val="21"/>
        </w:rPr>
      </w:pPr>
      <w:r>
        <w:rPr>
          <w:rFonts w:hint="eastAsia" w:ascii="宋体" w:hAnsi="宋体" w:cs="宋体"/>
          <w:color w:val="auto"/>
          <w:szCs w:val="21"/>
        </w:rPr>
        <w:t>2．提交</w:t>
      </w:r>
      <w:r>
        <w:rPr>
          <w:rFonts w:hint="eastAsia" w:ascii="宋体" w:hAnsi="宋体" w:cs="宋体"/>
          <w:color w:val="auto"/>
          <w:spacing w:val="4"/>
          <w:szCs w:val="21"/>
          <w:u w:val="single"/>
        </w:rPr>
        <w:t>娄底</w:t>
      </w:r>
      <w:r>
        <w:rPr>
          <w:rFonts w:hint="eastAsia" w:ascii="宋体" w:hAnsi="宋体" w:cs="宋体"/>
          <w:color w:val="auto"/>
          <w:szCs w:val="21"/>
        </w:rPr>
        <w:t>仲裁委员会仲裁。</w:t>
      </w:r>
    </w:p>
    <w:p w14:paraId="194FAA52">
      <w:pPr>
        <w:tabs>
          <w:tab w:val="left" w:pos="540"/>
        </w:tabs>
        <w:spacing w:afterLines="50" w:line="360" w:lineRule="exact"/>
        <w:ind w:firstLine="420" w:firstLineChars="200"/>
        <w:rPr>
          <w:rFonts w:ascii="宋体" w:hAnsi="宋体" w:cs="宋体"/>
          <w:color w:val="auto"/>
          <w:szCs w:val="21"/>
        </w:rPr>
      </w:pPr>
    </w:p>
    <w:p w14:paraId="2EB21C36">
      <w:pPr>
        <w:tabs>
          <w:tab w:val="left" w:pos="540"/>
        </w:tabs>
        <w:spacing w:afterLines="50" w:line="360" w:lineRule="exact"/>
        <w:ind w:firstLine="420" w:firstLineChars="200"/>
        <w:rPr>
          <w:rFonts w:ascii="宋体" w:hAnsi="宋体" w:cs="宋体"/>
          <w:color w:val="auto"/>
          <w:szCs w:val="21"/>
        </w:rPr>
      </w:pPr>
    </w:p>
    <w:p w14:paraId="1DD9017D">
      <w:pPr>
        <w:pStyle w:val="2"/>
        <w:rPr>
          <w:rFonts w:ascii="宋体" w:hAnsi="宋体" w:cs="宋体"/>
          <w:color w:val="auto"/>
          <w:sz w:val="21"/>
        </w:rPr>
      </w:pPr>
    </w:p>
    <w:p w14:paraId="03747F27">
      <w:pPr>
        <w:pStyle w:val="2"/>
        <w:rPr>
          <w:rFonts w:ascii="宋体" w:hAnsi="宋体" w:cs="宋体"/>
          <w:color w:val="auto"/>
          <w:sz w:val="21"/>
        </w:rPr>
      </w:pPr>
    </w:p>
    <w:p w14:paraId="5CC15597">
      <w:pPr>
        <w:pStyle w:val="2"/>
        <w:rPr>
          <w:rFonts w:ascii="宋体" w:hAnsi="宋体" w:cs="宋体"/>
          <w:color w:val="auto"/>
          <w:sz w:val="21"/>
        </w:rPr>
      </w:pPr>
    </w:p>
    <w:p w14:paraId="5A4AE952">
      <w:pPr>
        <w:spacing w:afterLines="50" w:line="360" w:lineRule="exact"/>
        <w:rPr>
          <w:rFonts w:ascii="宋体" w:hAnsi="宋体" w:cs="宋体"/>
          <w:b/>
          <w:color w:val="auto"/>
          <w:szCs w:val="21"/>
        </w:rPr>
      </w:pPr>
    </w:p>
    <w:p w14:paraId="1370F311">
      <w:pPr>
        <w:spacing w:afterLines="50" w:line="360" w:lineRule="exact"/>
        <w:jc w:val="center"/>
        <w:rPr>
          <w:rFonts w:ascii="宋体" w:hAnsi="宋体" w:cs="宋体"/>
          <w:b/>
          <w:color w:val="auto"/>
          <w:szCs w:val="21"/>
        </w:rPr>
      </w:pPr>
      <w:r>
        <w:rPr>
          <w:rFonts w:hint="eastAsia" w:ascii="宋体" w:hAnsi="宋体" w:cs="宋体"/>
          <w:b/>
          <w:color w:val="auto"/>
          <w:szCs w:val="21"/>
        </w:rPr>
        <w:t>第四部分  附加协议条款</w:t>
      </w:r>
      <w:bookmarkEnd w:id="78"/>
    </w:p>
    <w:p w14:paraId="3BD1A174">
      <w:pPr>
        <w:spacing w:afterLines="50" w:line="420" w:lineRule="exact"/>
        <w:ind w:firstLine="422" w:firstLineChars="200"/>
        <w:rPr>
          <w:rFonts w:ascii="宋体" w:hAnsi="宋体" w:cs="宋体"/>
          <w:color w:val="auto"/>
          <w:szCs w:val="21"/>
        </w:rPr>
      </w:pPr>
      <w:r>
        <w:rPr>
          <w:rFonts w:hint="eastAsia" w:ascii="宋体" w:hAnsi="宋体" w:cs="宋体"/>
          <w:b/>
          <w:color w:val="auto"/>
          <w:szCs w:val="21"/>
        </w:rPr>
        <w:t xml:space="preserve">第一条  </w:t>
      </w:r>
      <w:r>
        <w:rPr>
          <w:rFonts w:hint="eastAsia" w:ascii="宋体" w:hAnsi="宋体" w:cs="宋体"/>
          <w:color w:val="auto"/>
          <w:szCs w:val="21"/>
        </w:rPr>
        <w:t>乙方通过</w:t>
      </w:r>
      <w:r>
        <w:rPr>
          <w:rFonts w:hint="eastAsia" w:ascii="宋体" w:hAnsi="宋体" w:cs="宋体"/>
          <w:color w:val="auto"/>
          <w:szCs w:val="21"/>
          <w:u w:val="single"/>
        </w:rPr>
        <w:t xml:space="preserve">        /        </w:t>
      </w:r>
      <w:r>
        <w:rPr>
          <w:rFonts w:hint="eastAsia" w:ascii="宋体" w:hAnsi="宋体" w:cs="宋体"/>
          <w:color w:val="auto"/>
          <w:szCs w:val="21"/>
        </w:rPr>
        <w:t>工作实施，对以下方面出具咨询意见或咨询报告：</w:t>
      </w:r>
    </w:p>
    <w:p w14:paraId="7FF127A0">
      <w:pPr>
        <w:spacing w:afterLines="50" w:line="420" w:lineRule="exact"/>
        <w:ind w:firstLine="420" w:firstLineChars="200"/>
        <w:rPr>
          <w:rFonts w:ascii="宋体" w:hAnsi="宋体" w:cs="宋体"/>
          <w:color w:val="auto"/>
          <w:szCs w:val="21"/>
          <w:u w:val="single"/>
        </w:rPr>
      </w:pPr>
      <w:r>
        <w:rPr>
          <w:rFonts w:hint="eastAsia" w:ascii="宋体" w:hAnsi="宋体" w:cs="宋体"/>
          <w:color w:val="auto"/>
          <w:szCs w:val="21"/>
        </w:rPr>
        <w:t xml:space="preserve">1. </w:t>
      </w:r>
      <w:r>
        <w:rPr>
          <w:rFonts w:hint="eastAsia" w:ascii="宋体" w:hAnsi="宋体" w:cs="宋体"/>
          <w:color w:val="auto"/>
          <w:szCs w:val="21"/>
          <w:u w:val="single"/>
        </w:rPr>
        <w:t xml:space="preserve">                      /                                                  </w:t>
      </w:r>
    </w:p>
    <w:p w14:paraId="303D1E71">
      <w:pPr>
        <w:spacing w:afterLines="50" w:line="420" w:lineRule="exact"/>
        <w:ind w:firstLine="420" w:firstLineChars="200"/>
        <w:rPr>
          <w:rFonts w:ascii="宋体" w:hAnsi="宋体" w:cs="宋体"/>
          <w:color w:val="auto"/>
          <w:szCs w:val="21"/>
          <w:u w:val="single"/>
        </w:rPr>
      </w:pPr>
      <w:r>
        <w:rPr>
          <w:rFonts w:hint="eastAsia" w:ascii="宋体" w:hAnsi="宋体" w:cs="宋体"/>
          <w:color w:val="auto"/>
          <w:szCs w:val="21"/>
        </w:rPr>
        <w:t xml:space="preserve">2. </w:t>
      </w:r>
      <w:r>
        <w:rPr>
          <w:rFonts w:hint="eastAsia" w:ascii="宋体" w:hAnsi="宋体" w:cs="宋体"/>
          <w:color w:val="auto"/>
          <w:szCs w:val="21"/>
          <w:u w:val="single"/>
        </w:rPr>
        <w:t xml:space="preserve">                     /                                                            </w:t>
      </w:r>
    </w:p>
    <w:p w14:paraId="68B79A50">
      <w:pPr>
        <w:spacing w:afterLines="50" w:line="420" w:lineRule="exact"/>
        <w:ind w:firstLine="422" w:firstLineChars="200"/>
        <w:rPr>
          <w:rFonts w:ascii="宋体" w:hAnsi="宋体" w:cs="宋体"/>
          <w:color w:val="auto"/>
          <w:szCs w:val="21"/>
          <w:u w:val="single"/>
        </w:rPr>
      </w:pPr>
      <w:r>
        <w:rPr>
          <w:rFonts w:hint="eastAsia" w:ascii="宋体" w:hAnsi="宋体" w:cs="宋体"/>
          <w:b/>
          <w:color w:val="auto"/>
          <w:szCs w:val="21"/>
        </w:rPr>
        <w:t>第二条</w:t>
      </w:r>
      <w:r>
        <w:rPr>
          <w:rFonts w:hint="eastAsia" w:ascii="宋体" w:hAnsi="宋体" w:cs="宋体"/>
          <w:color w:val="auto"/>
          <w:szCs w:val="21"/>
        </w:rPr>
        <w:t xml:space="preserve">  其他：</w:t>
      </w:r>
      <w:r>
        <w:rPr>
          <w:rFonts w:hint="eastAsia" w:ascii="宋体" w:hAnsi="宋体" w:cs="宋体"/>
          <w:color w:val="auto"/>
          <w:szCs w:val="21"/>
          <w:u w:val="single"/>
        </w:rPr>
        <w:t xml:space="preserve">                   /                                                   </w:t>
      </w:r>
    </w:p>
    <w:p w14:paraId="55A724D4">
      <w:pPr>
        <w:spacing w:line="420" w:lineRule="exact"/>
        <w:ind w:firstLine="413" w:firstLineChars="196"/>
        <w:rPr>
          <w:rFonts w:ascii="宋体" w:hAnsi="宋体" w:cs="宋体"/>
          <w:color w:val="auto"/>
          <w:szCs w:val="21"/>
        </w:rPr>
      </w:pPr>
      <w:r>
        <w:rPr>
          <w:rFonts w:hint="eastAsia" w:ascii="宋体" w:hAnsi="宋体" w:cs="宋体"/>
          <w:b/>
          <w:color w:val="auto"/>
          <w:szCs w:val="21"/>
        </w:rPr>
        <w:t xml:space="preserve">第三条  </w:t>
      </w:r>
      <w:r>
        <w:rPr>
          <w:rFonts w:hint="eastAsia" w:ascii="宋体" w:hAnsi="宋体" w:cs="宋体"/>
          <w:color w:val="auto"/>
          <w:szCs w:val="21"/>
        </w:rPr>
        <w:t>本合同未尽事宜，双方应达成书面补充协议。</w:t>
      </w:r>
    </w:p>
    <w:p w14:paraId="53855747">
      <w:pPr>
        <w:pStyle w:val="19"/>
        <w:adjustRightInd w:val="0"/>
        <w:snapToGrid w:val="0"/>
        <w:jc w:val="center"/>
        <w:outlineLvl w:val="0"/>
        <w:rPr>
          <w:rFonts w:hAnsi="宋体" w:cs="宋体"/>
          <w:b/>
          <w:color w:val="auto"/>
          <w:sz w:val="32"/>
          <w:szCs w:val="32"/>
        </w:rPr>
      </w:pPr>
    </w:p>
    <w:p w14:paraId="168EDD8A">
      <w:pPr>
        <w:pStyle w:val="19"/>
        <w:adjustRightInd w:val="0"/>
        <w:snapToGrid w:val="0"/>
        <w:jc w:val="center"/>
        <w:outlineLvl w:val="0"/>
        <w:rPr>
          <w:rFonts w:hAnsi="宋体" w:cs="宋体"/>
          <w:b/>
          <w:color w:val="auto"/>
          <w:sz w:val="32"/>
          <w:szCs w:val="32"/>
        </w:rPr>
      </w:pPr>
    </w:p>
    <w:p w14:paraId="57D3018D">
      <w:pPr>
        <w:pStyle w:val="19"/>
        <w:adjustRightInd w:val="0"/>
        <w:snapToGrid w:val="0"/>
        <w:jc w:val="center"/>
        <w:outlineLvl w:val="0"/>
        <w:rPr>
          <w:rFonts w:hAnsi="宋体" w:cs="宋体"/>
          <w:b/>
          <w:color w:val="auto"/>
          <w:sz w:val="32"/>
          <w:szCs w:val="32"/>
        </w:rPr>
      </w:pPr>
    </w:p>
    <w:p w14:paraId="1D0AC6D4">
      <w:pPr>
        <w:pStyle w:val="19"/>
        <w:adjustRightInd w:val="0"/>
        <w:snapToGrid w:val="0"/>
        <w:jc w:val="center"/>
        <w:outlineLvl w:val="0"/>
        <w:rPr>
          <w:rFonts w:hAnsi="宋体" w:cs="宋体"/>
          <w:b/>
          <w:color w:val="auto"/>
          <w:sz w:val="32"/>
          <w:szCs w:val="32"/>
        </w:rPr>
      </w:pPr>
    </w:p>
    <w:p w14:paraId="5F9D1D75">
      <w:pPr>
        <w:pStyle w:val="19"/>
        <w:adjustRightInd w:val="0"/>
        <w:snapToGrid w:val="0"/>
        <w:jc w:val="center"/>
        <w:outlineLvl w:val="0"/>
        <w:rPr>
          <w:rFonts w:hAnsi="宋体" w:cs="宋体"/>
          <w:b/>
          <w:color w:val="auto"/>
          <w:sz w:val="32"/>
          <w:szCs w:val="32"/>
        </w:rPr>
      </w:pPr>
    </w:p>
    <w:p w14:paraId="26B4DA06">
      <w:pPr>
        <w:pStyle w:val="19"/>
        <w:adjustRightInd w:val="0"/>
        <w:snapToGrid w:val="0"/>
        <w:jc w:val="center"/>
        <w:outlineLvl w:val="0"/>
        <w:rPr>
          <w:rFonts w:hAnsi="宋体" w:cs="宋体"/>
          <w:b/>
          <w:color w:val="auto"/>
          <w:sz w:val="32"/>
          <w:szCs w:val="32"/>
        </w:rPr>
      </w:pPr>
    </w:p>
    <w:p w14:paraId="090C2994">
      <w:pPr>
        <w:pStyle w:val="19"/>
        <w:adjustRightInd w:val="0"/>
        <w:snapToGrid w:val="0"/>
        <w:jc w:val="center"/>
        <w:outlineLvl w:val="0"/>
        <w:rPr>
          <w:rFonts w:hAnsi="宋体" w:cs="宋体"/>
          <w:b/>
          <w:color w:val="auto"/>
          <w:sz w:val="32"/>
          <w:szCs w:val="32"/>
        </w:rPr>
      </w:pPr>
    </w:p>
    <w:p w14:paraId="397DDC4A">
      <w:pPr>
        <w:pStyle w:val="19"/>
        <w:adjustRightInd w:val="0"/>
        <w:snapToGrid w:val="0"/>
        <w:jc w:val="center"/>
        <w:outlineLvl w:val="0"/>
        <w:rPr>
          <w:rFonts w:hAnsi="宋体" w:cs="宋体"/>
          <w:b/>
          <w:color w:val="auto"/>
          <w:sz w:val="32"/>
          <w:szCs w:val="32"/>
        </w:rPr>
      </w:pPr>
    </w:p>
    <w:p w14:paraId="6FF9630F">
      <w:pPr>
        <w:pStyle w:val="19"/>
        <w:adjustRightInd w:val="0"/>
        <w:snapToGrid w:val="0"/>
        <w:jc w:val="center"/>
        <w:outlineLvl w:val="0"/>
        <w:rPr>
          <w:rFonts w:hAnsi="宋体" w:cs="宋体"/>
          <w:b/>
          <w:color w:val="auto"/>
          <w:sz w:val="32"/>
          <w:szCs w:val="32"/>
        </w:rPr>
      </w:pPr>
    </w:p>
    <w:p w14:paraId="7CC8988B">
      <w:pPr>
        <w:pStyle w:val="19"/>
        <w:adjustRightInd w:val="0"/>
        <w:snapToGrid w:val="0"/>
        <w:jc w:val="center"/>
        <w:outlineLvl w:val="0"/>
        <w:rPr>
          <w:rFonts w:hAnsi="宋体" w:cs="宋体"/>
          <w:b/>
          <w:color w:val="auto"/>
          <w:sz w:val="32"/>
          <w:szCs w:val="32"/>
        </w:rPr>
      </w:pPr>
    </w:p>
    <w:p w14:paraId="71CC3224">
      <w:pPr>
        <w:pStyle w:val="19"/>
        <w:adjustRightInd w:val="0"/>
        <w:snapToGrid w:val="0"/>
        <w:jc w:val="center"/>
        <w:outlineLvl w:val="0"/>
        <w:rPr>
          <w:rFonts w:hAnsi="宋体" w:cs="宋体"/>
          <w:b/>
          <w:color w:val="auto"/>
          <w:sz w:val="32"/>
          <w:szCs w:val="32"/>
        </w:rPr>
      </w:pPr>
    </w:p>
    <w:p w14:paraId="709708A2">
      <w:pPr>
        <w:pStyle w:val="19"/>
        <w:adjustRightInd w:val="0"/>
        <w:snapToGrid w:val="0"/>
        <w:jc w:val="center"/>
        <w:outlineLvl w:val="0"/>
        <w:rPr>
          <w:rFonts w:hAnsi="宋体" w:cs="宋体"/>
          <w:b/>
          <w:color w:val="auto"/>
          <w:sz w:val="32"/>
          <w:szCs w:val="32"/>
        </w:rPr>
      </w:pPr>
    </w:p>
    <w:p w14:paraId="604DDEDC">
      <w:pPr>
        <w:pStyle w:val="19"/>
        <w:adjustRightInd w:val="0"/>
        <w:snapToGrid w:val="0"/>
        <w:jc w:val="center"/>
        <w:outlineLvl w:val="0"/>
        <w:rPr>
          <w:rFonts w:hAnsi="宋体" w:cs="宋体"/>
          <w:b/>
          <w:color w:val="auto"/>
          <w:sz w:val="32"/>
          <w:szCs w:val="32"/>
        </w:rPr>
      </w:pPr>
    </w:p>
    <w:p w14:paraId="0DF834D0">
      <w:pPr>
        <w:pStyle w:val="19"/>
        <w:adjustRightInd w:val="0"/>
        <w:snapToGrid w:val="0"/>
        <w:jc w:val="center"/>
        <w:outlineLvl w:val="0"/>
        <w:rPr>
          <w:rFonts w:hAnsi="宋体" w:cs="宋体"/>
          <w:b/>
          <w:color w:val="auto"/>
          <w:sz w:val="32"/>
          <w:szCs w:val="32"/>
        </w:rPr>
      </w:pPr>
    </w:p>
    <w:p w14:paraId="31166719">
      <w:pPr>
        <w:pStyle w:val="19"/>
        <w:adjustRightInd w:val="0"/>
        <w:snapToGrid w:val="0"/>
        <w:jc w:val="center"/>
        <w:outlineLvl w:val="0"/>
        <w:rPr>
          <w:rFonts w:hAnsi="宋体" w:cs="宋体"/>
          <w:b/>
          <w:color w:val="auto"/>
          <w:sz w:val="32"/>
          <w:szCs w:val="32"/>
        </w:rPr>
      </w:pPr>
    </w:p>
    <w:p w14:paraId="04879B60">
      <w:pPr>
        <w:pStyle w:val="19"/>
        <w:adjustRightInd w:val="0"/>
        <w:snapToGrid w:val="0"/>
        <w:jc w:val="center"/>
        <w:outlineLvl w:val="0"/>
        <w:rPr>
          <w:rFonts w:hAnsi="宋体" w:cs="宋体"/>
          <w:b/>
          <w:color w:val="auto"/>
          <w:sz w:val="32"/>
          <w:szCs w:val="32"/>
        </w:rPr>
      </w:pPr>
    </w:p>
    <w:p w14:paraId="221A0344">
      <w:pPr>
        <w:pStyle w:val="19"/>
        <w:adjustRightInd w:val="0"/>
        <w:snapToGrid w:val="0"/>
        <w:jc w:val="center"/>
        <w:outlineLvl w:val="0"/>
        <w:rPr>
          <w:rFonts w:hAnsi="宋体" w:cs="宋体"/>
          <w:b/>
          <w:color w:val="auto"/>
          <w:sz w:val="32"/>
          <w:szCs w:val="32"/>
        </w:rPr>
      </w:pPr>
    </w:p>
    <w:p w14:paraId="5458B4CC">
      <w:pPr>
        <w:pStyle w:val="36"/>
        <w:ind w:firstLine="0"/>
        <w:rPr>
          <w:rFonts w:ascii="黑体" w:hAnsi="华文中宋" w:eastAsia="黑体"/>
          <w:b/>
          <w:color w:val="auto"/>
          <w:sz w:val="32"/>
          <w:szCs w:val="32"/>
        </w:rPr>
      </w:pPr>
    </w:p>
    <w:p w14:paraId="3A750DD2">
      <w:pPr>
        <w:pStyle w:val="36"/>
        <w:ind w:firstLine="0"/>
        <w:rPr>
          <w:rFonts w:ascii="黑体" w:hAnsi="华文中宋" w:eastAsia="黑体"/>
          <w:b/>
          <w:color w:val="auto"/>
          <w:sz w:val="32"/>
          <w:szCs w:val="32"/>
        </w:rPr>
      </w:pPr>
    </w:p>
    <w:p w14:paraId="5D22978C">
      <w:pPr>
        <w:pStyle w:val="36"/>
        <w:ind w:firstLine="0"/>
        <w:rPr>
          <w:rFonts w:ascii="黑体" w:hAnsi="华文中宋" w:eastAsia="黑体"/>
          <w:b/>
          <w:color w:val="auto"/>
          <w:sz w:val="32"/>
          <w:szCs w:val="32"/>
        </w:rPr>
      </w:pPr>
    </w:p>
    <w:p w14:paraId="250E5491">
      <w:pPr>
        <w:pStyle w:val="36"/>
        <w:ind w:firstLine="0"/>
        <w:rPr>
          <w:rFonts w:ascii="黑体" w:hAnsi="华文中宋" w:eastAsia="黑体"/>
          <w:b/>
          <w:color w:val="auto"/>
          <w:sz w:val="32"/>
          <w:szCs w:val="32"/>
        </w:rPr>
      </w:pPr>
    </w:p>
    <w:p w14:paraId="50ACC121">
      <w:pPr>
        <w:pStyle w:val="12"/>
        <w:spacing w:before="312" w:after="156"/>
        <w:rPr>
          <w:color w:val="auto"/>
        </w:rPr>
      </w:pPr>
      <w:bookmarkStart w:id="79" w:name="_Toc28201"/>
      <w:bookmarkStart w:id="80" w:name="_Toc31352"/>
      <w:r>
        <w:rPr>
          <w:rFonts w:hint="eastAsia"/>
          <w:color w:val="auto"/>
        </w:rPr>
        <w:t>第七章 投标文件的组成</w:t>
      </w:r>
      <w:bookmarkEnd w:id="73"/>
      <w:bookmarkEnd w:id="79"/>
      <w:bookmarkEnd w:id="80"/>
    </w:p>
    <w:p w14:paraId="7273CFED">
      <w:pPr>
        <w:adjustRightInd w:val="0"/>
        <w:snapToGrid w:val="0"/>
        <w:spacing w:beforeLines="50" w:line="360" w:lineRule="auto"/>
        <w:ind w:firstLine="422" w:firstLineChars="200"/>
        <w:rPr>
          <w:rFonts w:ascii="宋体" w:hAnsi="宋体"/>
          <w:b/>
          <w:color w:val="auto"/>
          <w:szCs w:val="21"/>
        </w:rPr>
      </w:pPr>
      <w:r>
        <w:rPr>
          <w:rFonts w:hint="eastAsia" w:ascii="宋体" w:hAnsi="宋体"/>
          <w:b/>
          <w:color w:val="auto"/>
          <w:szCs w:val="21"/>
        </w:rPr>
        <w:t>第一部分 资格证明文件</w:t>
      </w:r>
    </w:p>
    <w:p w14:paraId="49D2147D">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一、开标一览表</w:t>
      </w:r>
    </w:p>
    <w:p w14:paraId="6EF0E64F">
      <w:pPr>
        <w:adjustRightInd w:val="0"/>
        <w:snapToGrid w:val="0"/>
        <w:spacing w:beforeLines="50" w:line="360" w:lineRule="auto"/>
        <w:ind w:firstLine="630" w:firstLineChars="300"/>
        <w:rPr>
          <w:rFonts w:ascii="宋体" w:hAnsi="宋体" w:eastAsiaTheme="minorEastAsia"/>
          <w:color w:val="auto"/>
          <w:szCs w:val="21"/>
        </w:rPr>
      </w:pPr>
      <w:r>
        <w:rPr>
          <w:rFonts w:hint="eastAsia" w:ascii="宋体" w:hAnsi="宋体"/>
          <w:color w:val="auto"/>
          <w:szCs w:val="21"/>
        </w:rPr>
        <w:t>二、</w:t>
      </w:r>
      <w:r>
        <w:rPr>
          <w:rFonts w:hint="eastAsia" w:asciiTheme="minorEastAsia" w:hAnsiTheme="minorEastAsia" w:eastAsiaTheme="minorEastAsia"/>
          <w:color w:val="auto"/>
          <w:szCs w:val="21"/>
        </w:rPr>
        <w:t>法定代表人（单位负责人）身份证明或授权委托书，</w:t>
      </w:r>
      <w:r>
        <w:rPr>
          <w:rFonts w:hint="eastAsia" w:ascii="宋体" w:hAnsi="宋体"/>
          <w:color w:val="auto"/>
        </w:rPr>
        <w:t>授权委托人需提供近3个月的社保缴纳证明。</w:t>
      </w:r>
    </w:p>
    <w:p w14:paraId="37002BF6">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三、投标人提供的资格证明文件</w:t>
      </w:r>
    </w:p>
    <w:p w14:paraId="3080737D">
      <w:pPr>
        <w:adjustRightInd w:val="0"/>
        <w:snapToGrid w:val="0"/>
        <w:spacing w:beforeLines="50" w:line="360" w:lineRule="auto"/>
        <w:ind w:firstLine="422" w:firstLineChars="200"/>
        <w:rPr>
          <w:rFonts w:ascii="宋体" w:hAnsi="宋体"/>
          <w:b/>
          <w:color w:val="auto"/>
          <w:szCs w:val="21"/>
        </w:rPr>
      </w:pPr>
      <w:r>
        <w:rPr>
          <w:rFonts w:hint="eastAsia" w:ascii="宋体" w:hAnsi="宋体"/>
          <w:b/>
          <w:color w:val="auto"/>
          <w:szCs w:val="21"/>
        </w:rPr>
        <w:t>第二部分 商务技术文件</w:t>
      </w:r>
    </w:p>
    <w:p w14:paraId="69378C0B">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四、投标函</w:t>
      </w:r>
    </w:p>
    <w:p w14:paraId="04A10748">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五、分项报价</w:t>
      </w:r>
    </w:p>
    <w:p w14:paraId="44CEC4B6">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六、采购需求响应</w:t>
      </w:r>
    </w:p>
    <w:p w14:paraId="05439029">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七、采购需求偏离表</w:t>
      </w:r>
    </w:p>
    <w:p w14:paraId="3063A30A">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八、招标文件规定的证明文件</w:t>
      </w:r>
    </w:p>
    <w:p w14:paraId="5C20753A">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九、投标人认为需提供的其他资料</w:t>
      </w:r>
    </w:p>
    <w:p w14:paraId="23244842">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注：投标人可编制资格审查索引表、符合性审查索引表、评审索引表，以便评标委员会评审。</w:t>
      </w:r>
    </w:p>
    <w:p w14:paraId="7A4FFDE2">
      <w:pPr>
        <w:adjustRightInd w:val="0"/>
        <w:snapToGrid w:val="0"/>
        <w:spacing w:beforeLines="50" w:line="360" w:lineRule="auto"/>
        <w:ind w:firstLine="420" w:firstLineChars="200"/>
        <w:jc w:val="left"/>
        <w:rPr>
          <w:rFonts w:ascii="宋体" w:hAnsi="宋体"/>
          <w:color w:val="auto"/>
          <w:szCs w:val="21"/>
        </w:rPr>
      </w:pPr>
    </w:p>
    <w:p w14:paraId="7E3B2776">
      <w:pPr>
        <w:adjustRightInd w:val="0"/>
        <w:snapToGrid w:val="0"/>
        <w:spacing w:line="360" w:lineRule="auto"/>
        <w:jc w:val="center"/>
        <w:rPr>
          <w:rFonts w:ascii="仿宋_GB2312" w:hAnsi="宋体" w:eastAsia="仿宋_GB2312"/>
          <w:color w:val="auto"/>
          <w:szCs w:val="21"/>
        </w:rPr>
      </w:pPr>
    </w:p>
    <w:p w14:paraId="1EB51CDE">
      <w:pPr>
        <w:adjustRightInd w:val="0"/>
        <w:snapToGrid w:val="0"/>
        <w:spacing w:line="360" w:lineRule="auto"/>
        <w:jc w:val="center"/>
        <w:rPr>
          <w:rFonts w:ascii="黑体" w:eastAsia="黑体"/>
          <w:color w:val="auto"/>
          <w:sz w:val="32"/>
          <w:szCs w:val="32"/>
        </w:rPr>
      </w:pPr>
      <w:r>
        <w:rPr>
          <w:rFonts w:ascii="仿宋_GB2312" w:hAnsi="宋体" w:eastAsia="仿宋_GB2312"/>
          <w:color w:val="auto"/>
          <w:szCs w:val="21"/>
        </w:rPr>
        <w:br w:type="page"/>
      </w:r>
    </w:p>
    <w:p w14:paraId="4D3DF31E">
      <w:pPr>
        <w:adjustRightInd w:val="0"/>
        <w:snapToGrid w:val="0"/>
        <w:spacing w:line="360" w:lineRule="auto"/>
        <w:jc w:val="center"/>
        <w:rPr>
          <w:rFonts w:ascii="黑体" w:eastAsia="黑体"/>
          <w:color w:val="auto"/>
          <w:sz w:val="32"/>
          <w:szCs w:val="32"/>
        </w:rPr>
      </w:pPr>
    </w:p>
    <w:p w14:paraId="7A488026">
      <w:pPr>
        <w:adjustRightInd w:val="0"/>
        <w:snapToGrid w:val="0"/>
        <w:spacing w:line="360" w:lineRule="auto"/>
        <w:jc w:val="center"/>
        <w:rPr>
          <w:rFonts w:ascii="宋体" w:hAnsi="宋体"/>
          <w:b/>
          <w:bCs/>
          <w:color w:val="auto"/>
          <w:sz w:val="72"/>
          <w:szCs w:val="72"/>
        </w:rPr>
      </w:pPr>
      <w:r>
        <w:rPr>
          <w:rFonts w:hint="eastAsia" w:ascii="宋体" w:hAnsi="宋体"/>
          <w:b/>
          <w:bCs/>
          <w:color w:val="auto"/>
          <w:sz w:val="72"/>
          <w:szCs w:val="72"/>
        </w:rPr>
        <w:t>服务类项目询价比选</w:t>
      </w:r>
    </w:p>
    <w:p w14:paraId="44CBDA7A">
      <w:pPr>
        <w:adjustRightInd w:val="0"/>
        <w:snapToGrid w:val="0"/>
        <w:spacing w:line="360" w:lineRule="auto"/>
        <w:jc w:val="center"/>
        <w:rPr>
          <w:rFonts w:ascii="宋体" w:hAnsi="宋体"/>
          <w:b/>
          <w:bCs/>
          <w:color w:val="auto"/>
          <w:sz w:val="72"/>
          <w:szCs w:val="72"/>
        </w:rPr>
      </w:pPr>
      <w:r>
        <w:rPr>
          <w:rFonts w:hint="eastAsia" w:ascii="宋体" w:hAnsi="宋体"/>
          <w:b/>
          <w:bCs/>
          <w:color w:val="auto"/>
          <w:sz w:val="72"/>
          <w:szCs w:val="72"/>
        </w:rPr>
        <w:t>投 标 文 件</w:t>
      </w:r>
    </w:p>
    <w:p w14:paraId="4D9E2C89">
      <w:pPr>
        <w:adjustRightInd w:val="0"/>
        <w:snapToGrid w:val="0"/>
        <w:spacing w:line="360" w:lineRule="auto"/>
        <w:jc w:val="center"/>
        <w:rPr>
          <w:rFonts w:ascii="宋体" w:hAnsi="宋体"/>
          <w:b/>
          <w:bCs/>
          <w:color w:val="auto"/>
          <w:sz w:val="84"/>
          <w:szCs w:val="84"/>
        </w:rPr>
      </w:pPr>
    </w:p>
    <w:p w14:paraId="239BB4F9">
      <w:pPr>
        <w:pStyle w:val="13"/>
        <w:adjustRightInd w:val="0"/>
        <w:snapToGrid w:val="0"/>
        <w:jc w:val="center"/>
        <w:rPr>
          <w:rFonts w:ascii="黑体" w:hAnsi="黑体" w:eastAsia="黑体"/>
          <w:color w:val="auto"/>
          <w:sz w:val="44"/>
          <w:szCs w:val="44"/>
        </w:rPr>
      </w:pPr>
      <w:bookmarkStart w:id="81" w:name="_Toc12272"/>
      <w:bookmarkStart w:id="82" w:name="_Toc12769"/>
      <w:r>
        <w:rPr>
          <w:rFonts w:hint="eastAsia" w:ascii="黑体" w:hAnsi="黑体" w:eastAsia="黑体"/>
          <w:color w:val="auto"/>
          <w:sz w:val="44"/>
          <w:szCs w:val="44"/>
        </w:rPr>
        <w:t>第一部分 资格证明文件</w:t>
      </w:r>
      <w:bookmarkEnd w:id="81"/>
      <w:bookmarkEnd w:id="82"/>
    </w:p>
    <w:p w14:paraId="366E8AF1">
      <w:pPr>
        <w:adjustRightInd w:val="0"/>
        <w:snapToGrid w:val="0"/>
        <w:spacing w:line="360" w:lineRule="auto"/>
        <w:rPr>
          <w:rFonts w:ascii="黑体" w:hAnsi="黑体" w:eastAsia="黑体"/>
          <w:b/>
          <w:color w:val="auto"/>
          <w:sz w:val="32"/>
          <w:szCs w:val="32"/>
        </w:rPr>
      </w:pPr>
    </w:p>
    <w:p w14:paraId="555449D0">
      <w:pPr>
        <w:adjustRightInd w:val="0"/>
        <w:snapToGrid w:val="0"/>
        <w:spacing w:line="360" w:lineRule="auto"/>
        <w:rPr>
          <w:rFonts w:ascii="宋体" w:hAnsi="宋体"/>
          <w:b/>
          <w:color w:val="auto"/>
          <w:sz w:val="30"/>
          <w:szCs w:val="30"/>
        </w:rPr>
      </w:pPr>
      <w:r>
        <w:rPr>
          <w:rFonts w:hint="eastAsia" w:ascii="宋体" w:hAnsi="宋体"/>
          <w:b/>
          <w:color w:val="auto"/>
          <w:sz w:val="32"/>
          <w:szCs w:val="32"/>
        </w:rPr>
        <w:t xml:space="preserve">                     </w:t>
      </w:r>
    </w:p>
    <w:p w14:paraId="32ED5BCD">
      <w:pPr>
        <w:pStyle w:val="19"/>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14:paraId="6268EA88">
      <w:pPr>
        <w:pStyle w:val="19"/>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14:paraId="7A130F0C">
      <w:pPr>
        <w:adjustRightInd w:val="0"/>
        <w:snapToGrid w:val="0"/>
        <w:spacing w:line="360" w:lineRule="auto"/>
        <w:rPr>
          <w:rFonts w:ascii="宋体" w:hAnsi="宋体"/>
          <w:b/>
          <w:bCs/>
          <w:color w:val="auto"/>
          <w:sz w:val="30"/>
          <w:szCs w:val="30"/>
        </w:rPr>
      </w:pPr>
      <w:r>
        <w:rPr>
          <w:rFonts w:hint="eastAsia" w:ascii="宋体" w:hAnsi="宋体"/>
          <w:b/>
          <w:bCs/>
          <w:color w:val="auto"/>
          <w:sz w:val="30"/>
          <w:szCs w:val="30"/>
        </w:rPr>
        <w:t xml:space="preserve">  </w:t>
      </w:r>
    </w:p>
    <w:p w14:paraId="7D8D1194">
      <w:pPr>
        <w:pStyle w:val="2"/>
        <w:ind w:firstLine="602"/>
        <w:rPr>
          <w:rFonts w:ascii="宋体" w:hAnsi="宋体"/>
          <w:b/>
          <w:bCs/>
          <w:color w:val="auto"/>
          <w:sz w:val="30"/>
          <w:szCs w:val="30"/>
        </w:rPr>
      </w:pPr>
    </w:p>
    <w:p w14:paraId="6BCD1150">
      <w:pPr>
        <w:pStyle w:val="2"/>
        <w:ind w:firstLine="602"/>
        <w:rPr>
          <w:rFonts w:ascii="宋体" w:hAnsi="宋体"/>
          <w:b/>
          <w:bCs/>
          <w:color w:val="auto"/>
          <w:sz w:val="30"/>
          <w:szCs w:val="30"/>
        </w:rPr>
      </w:pPr>
    </w:p>
    <w:p w14:paraId="68A1C33D">
      <w:pPr>
        <w:pStyle w:val="2"/>
        <w:ind w:firstLine="602"/>
        <w:rPr>
          <w:rFonts w:ascii="宋体" w:hAnsi="宋体"/>
          <w:b/>
          <w:bCs/>
          <w:color w:val="auto"/>
          <w:sz w:val="30"/>
          <w:szCs w:val="30"/>
        </w:rPr>
      </w:pPr>
    </w:p>
    <w:p w14:paraId="28CD05FE">
      <w:pPr>
        <w:adjustRightInd w:val="0"/>
        <w:snapToGrid w:val="0"/>
        <w:rPr>
          <w:rFonts w:ascii="黑体" w:hAnsi="宋体" w:eastAsia="黑体"/>
          <w:color w:val="auto"/>
          <w:sz w:val="30"/>
          <w:szCs w:val="30"/>
        </w:rPr>
      </w:pPr>
    </w:p>
    <w:p w14:paraId="0D07D01C">
      <w:pPr>
        <w:adjustRightInd w:val="0"/>
        <w:snapToGrid w:val="0"/>
        <w:spacing w:line="360" w:lineRule="auto"/>
        <w:rPr>
          <w:rFonts w:ascii="黑体" w:hAnsi="宋体" w:eastAsia="黑体"/>
          <w:color w:val="auto"/>
          <w:sz w:val="30"/>
          <w:szCs w:val="30"/>
        </w:rPr>
      </w:pPr>
    </w:p>
    <w:p w14:paraId="3644A351">
      <w:pPr>
        <w:adjustRightInd w:val="0"/>
        <w:snapToGrid w:val="0"/>
        <w:spacing w:line="360" w:lineRule="auto"/>
        <w:rPr>
          <w:rFonts w:ascii="黑体" w:hAnsi="宋体" w:eastAsia="黑体"/>
          <w:color w:val="auto"/>
          <w:sz w:val="30"/>
          <w:szCs w:val="30"/>
        </w:rPr>
      </w:pPr>
    </w:p>
    <w:p w14:paraId="2AE129BE">
      <w:pPr>
        <w:adjustRightInd w:val="0"/>
        <w:snapToGrid w:val="0"/>
        <w:spacing w:line="360" w:lineRule="auto"/>
        <w:ind w:firstLine="1984" w:firstLineChars="620"/>
        <w:rPr>
          <w:rFonts w:ascii="黑体" w:hAnsi="宋体" w:eastAsia="黑体"/>
          <w:color w:val="auto"/>
          <w:sz w:val="32"/>
          <w:szCs w:val="32"/>
          <w:u w:val="single"/>
        </w:rPr>
      </w:pPr>
      <w:r>
        <w:rPr>
          <w:rFonts w:hint="eastAsia" w:ascii="黑体" w:hAnsi="宋体" w:eastAsia="黑体"/>
          <w:color w:val="auto"/>
          <w:sz w:val="32"/>
          <w:szCs w:val="32"/>
        </w:rPr>
        <w:t>投标人</w:t>
      </w:r>
      <w:r>
        <w:rPr>
          <w:rFonts w:hint="eastAsia" w:ascii="黑体" w:hAnsi="宋体" w:eastAsia="黑体"/>
          <w:color w:val="auto"/>
          <w:sz w:val="32"/>
          <w:szCs w:val="32"/>
          <w:u w:val="single"/>
        </w:rPr>
        <w:t xml:space="preserve">                         </w:t>
      </w:r>
    </w:p>
    <w:p w14:paraId="0CAF45CD">
      <w:pPr>
        <w:adjustRightInd w:val="0"/>
        <w:snapToGrid w:val="0"/>
        <w:spacing w:line="360" w:lineRule="auto"/>
        <w:jc w:val="center"/>
        <w:rPr>
          <w:rFonts w:ascii="黑体" w:eastAsia="黑体"/>
          <w:color w:val="auto"/>
          <w:sz w:val="10"/>
          <w:szCs w:val="10"/>
        </w:rPr>
      </w:pPr>
      <w:r>
        <w:rPr>
          <w:rFonts w:hint="eastAsia" w:ascii="黑体" w:hAnsi="宋体" w:eastAsia="黑体"/>
          <w:color w:val="auto"/>
          <w:sz w:val="32"/>
          <w:szCs w:val="32"/>
        </w:rPr>
        <w:t>年   月   日</w:t>
      </w:r>
      <w:r>
        <w:rPr>
          <w:rFonts w:ascii="黑体" w:eastAsia="黑体"/>
          <w:color w:val="auto"/>
          <w:sz w:val="28"/>
          <w:szCs w:val="28"/>
        </w:rPr>
        <w:br w:type="page"/>
      </w:r>
    </w:p>
    <w:p w14:paraId="3407AD85">
      <w:pPr>
        <w:pStyle w:val="14"/>
        <w:adjustRightInd w:val="0"/>
        <w:snapToGrid w:val="0"/>
        <w:spacing w:before="0" w:after="0" w:line="360" w:lineRule="auto"/>
        <w:jc w:val="center"/>
        <w:rPr>
          <w:rFonts w:ascii="黑体" w:hAnsi="宋体" w:eastAsia="黑体"/>
          <w:color w:val="auto"/>
          <w:sz w:val="28"/>
          <w:szCs w:val="28"/>
        </w:rPr>
      </w:pPr>
      <w:bookmarkStart w:id="83" w:name="_Toc13587"/>
      <w:r>
        <w:rPr>
          <w:rFonts w:hint="eastAsia" w:ascii="黑体" w:hAnsi="宋体" w:eastAsia="黑体"/>
          <w:color w:val="auto"/>
          <w:sz w:val="28"/>
          <w:szCs w:val="28"/>
        </w:rPr>
        <w:t>一、开标一览表</w:t>
      </w:r>
      <w:bookmarkEnd w:id="83"/>
    </w:p>
    <w:p w14:paraId="489F997D">
      <w:pPr>
        <w:adjustRightInd w:val="0"/>
        <w:snapToGrid w:val="0"/>
        <w:spacing w:line="360" w:lineRule="auto"/>
        <w:ind w:left="-88" w:leftChars="-42"/>
        <w:jc w:val="center"/>
        <w:rPr>
          <w:rFonts w:ascii="仿宋_GB2312" w:hAnsi="宋体" w:eastAsia="仿宋_GB2312"/>
          <w:color w:val="auto"/>
          <w:sz w:val="24"/>
        </w:rPr>
      </w:pPr>
    </w:p>
    <w:p w14:paraId="63347987">
      <w:pPr>
        <w:adjustRightInd w:val="0"/>
        <w:snapToGrid w:val="0"/>
        <w:spacing w:line="360" w:lineRule="auto"/>
        <w:rPr>
          <w:rFonts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w:t>
      </w:r>
    </w:p>
    <w:p w14:paraId="726DBE9B">
      <w:pPr>
        <w:adjustRightInd w:val="0"/>
        <w:snapToGrid w:val="0"/>
        <w:spacing w:line="360" w:lineRule="auto"/>
        <w:rPr>
          <w:rFonts w:ascii="宋体" w:hAnsi="宋体"/>
          <w:b/>
          <w:color w:val="auto"/>
          <w:szCs w:val="21"/>
        </w:rPr>
      </w:pPr>
      <w:r>
        <w:rPr>
          <w:rFonts w:hint="eastAsia" w:ascii="宋体" w:hAnsi="宋体"/>
          <w:color w:val="auto"/>
          <w:szCs w:val="21"/>
        </w:rPr>
        <w:t>包号：</w:t>
      </w:r>
      <w:r>
        <w:rPr>
          <w:rFonts w:hint="eastAsia" w:ascii="宋体" w:hAnsi="宋体"/>
          <w:color w:val="auto"/>
          <w:szCs w:val="21"/>
          <w:u w:val="single"/>
        </w:rPr>
        <w:t xml:space="preserve">                 </w:t>
      </w:r>
      <w:r>
        <w:rPr>
          <w:rFonts w:hint="eastAsia" w:ascii="宋体" w:hAnsi="宋体"/>
          <w:color w:val="auto"/>
          <w:szCs w:val="21"/>
        </w:rPr>
        <w:t xml:space="preserve">                               包名称：</w:t>
      </w:r>
      <w:r>
        <w:rPr>
          <w:rFonts w:hint="eastAsia" w:ascii="宋体" w:hAnsi="宋体"/>
          <w:color w:val="auto"/>
          <w:szCs w:val="21"/>
          <w:u w:val="single"/>
        </w:rPr>
        <w:t xml:space="preserve">                  </w:t>
      </w:r>
    </w:p>
    <w:tbl>
      <w:tblPr>
        <w:tblStyle w:val="31"/>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055DB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ign w:val="center"/>
          </w:tcPr>
          <w:p w14:paraId="4DC9E06D">
            <w:pPr>
              <w:adjustRightInd w:val="0"/>
              <w:snapToGrid w:val="0"/>
              <w:spacing w:line="360" w:lineRule="auto"/>
              <w:jc w:val="center"/>
              <w:rPr>
                <w:rFonts w:ascii="宋体" w:hAnsi="宋体"/>
                <w:b/>
                <w:color w:val="auto"/>
                <w:kern w:val="0"/>
                <w:sz w:val="20"/>
                <w:szCs w:val="21"/>
              </w:rPr>
            </w:pPr>
            <w:r>
              <w:rPr>
                <w:rFonts w:hint="eastAsia" w:ascii="宋体" w:hAnsi="宋体"/>
                <w:b/>
                <w:color w:val="auto"/>
                <w:kern w:val="0"/>
                <w:szCs w:val="21"/>
              </w:rPr>
              <w:t>投标报价</w:t>
            </w:r>
          </w:p>
        </w:tc>
        <w:tc>
          <w:tcPr>
            <w:tcW w:w="3119" w:type="dxa"/>
            <w:noWrap/>
            <w:vAlign w:val="center"/>
          </w:tcPr>
          <w:p w14:paraId="5FC04744">
            <w:pPr>
              <w:adjustRightInd w:val="0"/>
              <w:snapToGrid w:val="0"/>
              <w:spacing w:line="360" w:lineRule="auto"/>
              <w:jc w:val="center"/>
              <w:rPr>
                <w:rFonts w:ascii="宋体" w:hAnsi="宋体"/>
                <w:b/>
                <w:color w:val="auto"/>
                <w:kern w:val="0"/>
                <w:szCs w:val="21"/>
              </w:rPr>
            </w:pPr>
            <w:r>
              <w:rPr>
                <w:rFonts w:hint="eastAsia" w:ascii="宋体" w:hAnsi="宋体"/>
                <w:b/>
                <w:color w:val="auto"/>
                <w:kern w:val="0"/>
                <w:szCs w:val="21"/>
              </w:rPr>
              <w:t>其他内容</w:t>
            </w:r>
          </w:p>
        </w:tc>
      </w:tr>
      <w:tr w14:paraId="413B09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ign w:val="center"/>
          </w:tcPr>
          <w:p w14:paraId="4586915C">
            <w:pPr>
              <w:adjustRightInd w:val="0"/>
              <w:snapToGrid w:val="0"/>
              <w:spacing w:line="360" w:lineRule="auto"/>
              <w:jc w:val="center"/>
              <w:rPr>
                <w:rFonts w:ascii="宋体" w:hAnsi="宋体"/>
                <w:color w:val="auto"/>
                <w:kern w:val="0"/>
                <w:szCs w:val="21"/>
              </w:rPr>
            </w:pPr>
          </w:p>
          <w:p w14:paraId="72EBDB29">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小写金额：</w:t>
            </w:r>
            <w:r>
              <w:rPr>
                <w:rFonts w:hint="eastAsia" w:ascii="宋体" w:hAnsi="宋体"/>
                <w:color w:val="auto"/>
                <w:kern w:val="0"/>
                <w:szCs w:val="21"/>
                <w:u w:val="single"/>
              </w:rPr>
              <w:t xml:space="preserve">               </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14:paraId="0EA48E3E">
            <w:pPr>
              <w:adjustRightInd w:val="0"/>
              <w:snapToGrid w:val="0"/>
              <w:spacing w:line="360" w:lineRule="auto"/>
              <w:jc w:val="center"/>
              <w:rPr>
                <w:rFonts w:ascii="宋体" w:hAnsi="宋体"/>
                <w:color w:val="auto"/>
                <w:kern w:val="0"/>
                <w:szCs w:val="21"/>
                <w:u w:val="single"/>
              </w:rPr>
            </w:pPr>
            <w:r>
              <w:rPr>
                <w:rFonts w:hint="eastAsia" w:ascii="宋体" w:hAnsi="宋体"/>
                <w:color w:val="auto"/>
                <w:kern w:val="0"/>
                <w:szCs w:val="21"/>
              </w:rPr>
              <w:t>大写金额：</w:t>
            </w:r>
            <w:r>
              <w:rPr>
                <w:rFonts w:hint="eastAsia" w:ascii="宋体" w:hAnsi="宋体"/>
                <w:color w:val="auto"/>
                <w:kern w:val="0"/>
                <w:szCs w:val="21"/>
                <w:u w:val="single"/>
              </w:rPr>
              <w:t xml:space="preserve">                </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14:paraId="064E0DF0">
            <w:pPr>
              <w:adjustRightInd w:val="0"/>
              <w:snapToGrid w:val="0"/>
              <w:spacing w:line="360" w:lineRule="auto"/>
              <w:jc w:val="center"/>
              <w:rPr>
                <w:rFonts w:ascii="宋体" w:hAnsi="宋体"/>
                <w:color w:val="auto"/>
                <w:kern w:val="0"/>
                <w:sz w:val="20"/>
                <w:szCs w:val="21"/>
              </w:rPr>
            </w:pPr>
            <w:r>
              <w:rPr>
                <w:rFonts w:hint="eastAsia" w:ascii="宋体" w:hAnsi="宋体"/>
                <w:color w:val="auto"/>
                <w:kern w:val="0"/>
                <w:szCs w:val="21"/>
              </w:rPr>
              <w:t>（</w:t>
            </w:r>
            <w:r>
              <w:rPr>
                <w:rFonts w:hint="eastAsia" w:ascii="黑体" w:hAnsi="黑体" w:eastAsia="黑体"/>
                <w:color w:val="auto"/>
                <w:kern w:val="0"/>
                <w:sz w:val="24"/>
              </w:rPr>
              <w:t>大写金额与小写金额不一致时，以大写金额为准</w:t>
            </w:r>
            <w:r>
              <w:rPr>
                <w:rFonts w:hint="eastAsia" w:ascii="宋体" w:hAnsi="宋体"/>
                <w:color w:val="auto"/>
                <w:kern w:val="0"/>
                <w:szCs w:val="21"/>
              </w:rPr>
              <w:t>）</w:t>
            </w:r>
          </w:p>
        </w:tc>
        <w:tc>
          <w:tcPr>
            <w:tcW w:w="3119" w:type="dxa"/>
            <w:vMerge w:val="restart"/>
            <w:noWrap/>
            <w:vAlign w:val="center"/>
          </w:tcPr>
          <w:p w14:paraId="2CB45055">
            <w:pPr>
              <w:adjustRightInd w:val="0"/>
              <w:snapToGrid w:val="0"/>
              <w:spacing w:line="360" w:lineRule="auto"/>
              <w:jc w:val="center"/>
              <w:rPr>
                <w:rFonts w:ascii="宋体" w:hAnsi="宋体"/>
                <w:color w:val="auto"/>
                <w:kern w:val="0"/>
                <w:szCs w:val="21"/>
              </w:rPr>
            </w:pPr>
          </w:p>
        </w:tc>
      </w:tr>
      <w:tr w14:paraId="7BF89A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ign w:val="center"/>
          </w:tcPr>
          <w:p w14:paraId="68D2CDE2">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费率：</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w:t>
            </w:r>
            <w:r>
              <w:rPr>
                <w:rFonts w:hint="eastAsia" w:ascii="宋体" w:hAnsi="宋体"/>
                <w:color w:val="auto"/>
                <w:kern w:val="0"/>
                <w:szCs w:val="21"/>
                <w:u w:val="single"/>
              </w:rPr>
              <w:t xml:space="preserve">       %</w:t>
            </w:r>
          </w:p>
        </w:tc>
        <w:tc>
          <w:tcPr>
            <w:tcW w:w="3119" w:type="dxa"/>
            <w:vMerge w:val="continue"/>
            <w:noWrap/>
            <w:vAlign w:val="center"/>
          </w:tcPr>
          <w:p w14:paraId="52AEB331">
            <w:pPr>
              <w:adjustRightInd w:val="0"/>
              <w:snapToGrid w:val="0"/>
              <w:spacing w:line="360" w:lineRule="auto"/>
              <w:jc w:val="center"/>
              <w:rPr>
                <w:rFonts w:ascii="宋体" w:hAnsi="宋体"/>
                <w:color w:val="auto"/>
                <w:kern w:val="0"/>
                <w:szCs w:val="21"/>
              </w:rPr>
            </w:pPr>
          </w:p>
        </w:tc>
      </w:tr>
    </w:tbl>
    <w:p w14:paraId="55264D0F">
      <w:pPr>
        <w:adjustRightInd w:val="0"/>
        <w:snapToGrid w:val="0"/>
        <w:spacing w:line="360" w:lineRule="auto"/>
        <w:rPr>
          <w:rFonts w:ascii="宋体" w:hAnsi="宋体"/>
          <w:bCs/>
          <w:color w:val="auto"/>
          <w:szCs w:val="21"/>
        </w:rPr>
      </w:pPr>
    </w:p>
    <w:p w14:paraId="5538E2BB">
      <w:pPr>
        <w:adjustRightInd w:val="0"/>
        <w:snapToGrid w:val="0"/>
        <w:spacing w:line="360" w:lineRule="auto"/>
        <w:rPr>
          <w:rFonts w:ascii="宋体" w:hAnsi="宋体"/>
          <w:color w:val="auto"/>
          <w:szCs w:val="21"/>
        </w:rPr>
      </w:pPr>
      <w:r>
        <w:rPr>
          <w:rFonts w:hint="eastAsia" w:ascii="宋体" w:hAnsi="宋体"/>
          <w:bCs/>
          <w:color w:val="auto"/>
          <w:szCs w:val="21"/>
        </w:rPr>
        <w:t>注：</w:t>
      </w:r>
      <w:r>
        <w:rPr>
          <w:rFonts w:hint="eastAsia" w:ascii="宋体" w:hAnsi="宋体"/>
          <w:color w:val="auto"/>
          <w:szCs w:val="21"/>
        </w:rPr>
        <w:t>1.本表须按包填写，一个“包号”一份。</w:t>
      </w:r>
    </w:p>
    <w:p w14:paraId="4EACAEE0">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rPr>
        <w:t>投标人对采购项目内容只允许有一个投标报价，否则其</w:t>
      </w:r>
      <w:r>
        <w:rPr>
          <w:rFonts w:hint="eastAsia" w:ascii="宋体" w:hAnsi="宋体"/>
          <w:b/>
          <w:color w:val="auto"/>
        </w:rPr>
        <w:t>投标无效</w:t>
      </w:r>
      <w:r>
        <w:rPr>
          <w:rFonts w:hint="eastAsia" w:ascii="宋体" w:hAnsi="宋体"/>
          <w:color w:val="auto"/>
          <w:szCs w:val="21"/>
        </w:rPr>
        <w:t>。</w:t>
      </w:r>
    </w:p>
    <w:p w14:paraId="3AA7F574">
      <w:pPr>
        <w:adjustRightInd w:val="0"/>
        <w:snapToGrid w:val="0"/>
        <w:spacing w:line="360" w:lineRule="auto"/>
        <w:ind w:firstLine="420" w:firstLineChars="200"/>
        <w:jc w:val="left"/>
        <w:rPr>
          <w:rFonts w:ascii="宋体" w:hAnsi="宋体"/>
          <w:color w:val="auto"/>
        </w:rPr>
      </w:pPr>
      <w:r>
        <w:rPr>
          <w:rFonts w:hint="eastAsia" w:ascii="宋体" w:hAnsi="宋体"/>
          <w:color w:val="auto"/>
          <w:szCs w:val="21"/>
        </w:rPr>
        <w:t>3.</w:t>
      </w:r>
      <w:r>
        <w:rPr>
          <w:rFonts w:hint="eastAsia" w:ascii="宋体" w:hAnsi="宋体"/>
          <w:color w:val="auto"/>
        </w:rPr>
        <w:t>投标人在投标截止时间前修改“开标一览表”中的投标报价的，应同时修改投标文件“分项报价明细表”以及“联合体协议书”（如果影响）等相关内容。</w:t>
      </w:r>
    </w:p>
    <w:p w14:paraId="234F628D">
      <w:pPr>
        <w:adjustRightInd w:val="0"/>
        <w:snapToGrid w:val="0"/>
        <w:spacing w:line="360" w:lineRule="auto"/>
        <w:ind w:firstLine="420" w:firstLineChars="200"/>
        <w:rPr>
          <w:rFonts w:ascii="宋体" w:hAnsi="宋体"/>
          <w:color w:val="auto"/>
          <w:szCs w:val="21"/>
        </w:rPr>
      </w:pPr>
    </w:p>
    <w:p w14:paraId="570D59F3">
      <w:pPr>
        <w:adjustRightInd w:val="0"/>
        <w:snapToGrid w:val="0"/>
        <w:spacing w:line="360" w:lineRule="auto"/>
        <w:ind w:firstLine="420" w:firstLineChars="200"/>
        <w:rPr>
          <w:rFonts w:ascii="宋体" w:hAnsi="宋体"/>
          <w:color w:val="auto"/>
          <w:szCs w:val="21"/>
        </w:rPr>
      </w:pPr>
    </w:p>
    <w:p w14:paraId="01F5EEB1">
      <w:pPr>
        <w:adjustRightInd w:val="0"/>
        <w:snapToGrid w:val="0"/>
        <w:spacing w:line="360" w:lineRule="auto"/>
        <w:rPr>
          <w:rFonts w:ascii="宋体" w:hAnsi="宋体"/>
          <w:color w:val="auto"/>
          <w:szCs w:val="21"/>
        </w:rPr>
      </w:pPr>
    </w:p>
    <w:p w14:paraId="45AEB181">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63C80839">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r>
        <w:rPr>
          <w:rFonts w:hint="eastAsia" w:ascii="宋体" w:hAnsi="宋体"/>
          <w:color w:val="auto"/>
          <w:szCs w:val="21"/>
        </w:rPr>
        <w:t>_</w:t>
      </w:r>
    </w:p>
    <w:p w14:paraId="76D14759">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5122A06">
      <w:pPr>
        <w:widowControl/>
        <w:jc w:val="left"/>
        <w:rPr>
          <w:rFonts w:ascii="黑体" w:eastAsia="黑体"/>
          <w:color w:val="auto"/>
          <w:sz w:val="10"/>
          <w:szCs w:val="10"/>
        </w:rPr>
      </w:pPr>
      <w:r>
        <w:rPr>
          <w:rFonts w:ascii="黑体" w:eastAsia="黑体"/>
          <w:color w:val="auto"/>
          <w:sz w:val="32"/>
          <w:szCs w:val="32"/>
        </w:rPr>
        <w:br w:type="page"/>
      </w:r>
    </w:p>
    <w:p w14:paraId="787DD56B">
      <w:pPr>
        <w:pStyle w:val="14"/>
        <w:adjustRightInd w:val="0"/>
        <w:snapToGrid w:val="0"/>
        <w:spacing w:before="0" w:after="0" w:line="360" w:lineRule="auto"/>
        <w:jc w:val="center"/>
        <w:rPr>
          <w:rFonts w:ascii="黑体" w:hAnsi="宋体" w:eastAsia="黑体"/>
          <w:color w:val="auto"/>
          <w:sz w:val="28"/>
          <w:szCs w:val="28"/>
        </w:rPr>
      </w:pPr>
      <w:bookmarkStart w:id="84" w:name="_Toc12400"/>
      <w:r>
        <w:rPr>
          <w:rFonts w:hint="eastAsia" w:ascii="黑体" w:hAnsi="宋体" w:eastAsia="黑体"/>
          <w:color w:val="auto"/>
          <w:sz w:val="28"/>
          <w:szCs w:val="28"/>
        </w:rPr>
        <w:t>二、授权委托书</w:t>
      </w:r>
      <w:bookmarkEnd w:id="84"/>
    </w:p>
    <w:p w14:paraId="68C5C380">
      <w:pPr>
        <w:autoSpaceDE w:val="0"/>
        <w:autoSpaceDN w:val="0"/>
        <w:adjustRightInd w:val="0"/>
        <w:snapToGrid w:val="0"/>
        <w:spacing w:line="360" w:lineRule="auto"/>
        <w:ind w:firstLine="446" w:firstLineChars="200"/>
        <w:jc w:val="left"/>
        <w:rPr>
          <w:rFonts w:ascii="宋体" w:hAnsi="宋体"/>
          <w:b/>
          <w:color w:val="auto"/>
          <w:spacing w:val="6"/>
          <w:szCs w:val="21"/>
        </w:rPr>
      </w:pPr>
    </w:p>
    <w:p w14:paraId="2FC348C7">
      <w:pPr>
        <w:autoSpaceDE w:val="0"/>
        <w:autoSpaceDN w:val="0"/>
        <w:adjustRightInd w:val="0"/>
        <w:snapToGrid w:val="0"/>
        <w:spacing w:line="360" w:lineRule="auto"/>
        <w:ind w:firstLine="420" w:firstLineChars="200"/>
        <w:jc w:val="left"/>
        <w:rPr>
          <w:rFonts w:ascii="宋体" w:hAnsi="宋体" w:cs="宋体"/>
          <w:color w:val="auto"/>
          <w:kern w:val="0"/>
          <w:szCs w:val="21"/>
        </w:rPr>
      </w:pPr>
    </w:p>
    <w:p w14:paraId="0A96C38C">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投标人</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（姓名、职务）为我方代理人。代理人根据授权，以我方名义签署、澄清、说明、补正、递交、撤回、修改</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ascii="宋体" w:hAnsi="宋体" w:cs="宋体"/>
          <w:color w:val="auto"/>
          <w:kern w:val="0"/>
          <w:szCs w:val="21"/>
        </w:rPr>
        <w:t>）</w:t>
      </w:r>
      <w:r>
        <w:rPr>
          <w:rFonts w:hint="eastAsia" w:ascii="宋体" w:hAnsi="宋体" w:cs="宋体"/>
          <w:color w:val="auto"/>
          <w:kern w:val="0"/>
          <w:szCs w:val="21"/>
        </w:rPr>
        <w:t>投标文件、签订合同和处理有关事宜，其法律后果由我方承担。</w:t>
      </w:r>
    </w:p>
    <w:p w14:paraId="22FB0C8C">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15F73065">
      <w:pPr>
        <w:adjustRightInd w:val="0"/>
        <w:snapToGrid w:val="0"/>
        <w:spacing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0F4C6D99">
      <w:pPr>
        <w:adjustRightInd w:val="0"/>
        <w:snapToGrid w:val="0"/>
        <w:spacing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31"/>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767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3898" w:type="dxa"/>
            <w:noWrap/>
            <w:vAlign w:val="center"/>
          </w:tcPr>
          <w:p w14:paraId="4CCB52D7">
            <w:pPr>
              <w:adjustRightInd w:val="0"/>
              <w:snapToGrid w:val="0"/>
              <w:spacing w:line="360" w:lineRule="auto"/>
              <w:jc w:val="center"/>
              <w:rPr>
                <w:rFonts w:ascii="宋体" w:hAnsi="宋体"/>
                <w:color w:val="auto"/>
                <w:szCs w:val="21"/>
              </w:rPr>
            </w:pPr>
            <w:r>
              <w:rPr>
                <w:rFonts w:hint="eastAsia" w:ascii="宋体" w:hAnsi="宋体"/>
                <w:color w:val="auto"/>
                <w:szCs w:val="21"/>
              </w:rPr>
              <w:t>委托代理人身份证（正面）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14:paraId="1CA2226C">
            <w:pPr>
              <w:adjustRightInd w:val="0"/>
              <w:snapToGrid w:val="0"/>
              <w:spacing w:line="360" w:lineRule="auto"/>
              <w:jc w:val="center"/>
              <w:rPr>
                <w:rFonts w:ascii="宋体" w:hAnsi="宋体"/>
                <w:color w:val="auto"/>
                <w:szCs w:val="21"/>
              </w:rPr>
            </w:pPr>
            <w:r>
              <w:rPr>
                <w:rFonts w:hint="eastAsia" w:ascii="宋体" w:hAnsi="宋体"/>
                <w:color w:val="auto"/>
                <w:szCs w:val="21"/>
              </w:rPr>
              <w:t>委托代理人身份证（反面）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r w14:paraId="7B71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ign w:val="center"/>
          </w:tcPr>
          <w:p w14:paraId="28724D67">
            <w:pPr>
              <w:adjustRightInd w:val="0"/>
              <w:snapToGrid w:val="0"/>
              <w:spacing w:line="360" w:lineRule="auto"/>
              <w:jc w:val="center"/>
              <w:rPr>
                <w:rFonts w:ascii="宋体" w:hAnsi="宋体"/>
                <w:color w:val="auto"/>
                <w:szCs w:val="21"/>
              </w:rPr>
            </w:pPr>
            <w:r>
              <w:rPr>
                <w:rFonts w:hint="eastAsia" w:ascii="宋体" w:hAnsi="宋体"/>
                <w:color w:val="auto"/>
                <w:szCs w:val="21"/>
              </w:rPr>
              <w:t>法定代表人身份证（正面）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14:paraId="73FA2E8F">
            <w:pPr>
              <w:adjustRightInd w:val="0"/>
              <w:snapToGrid w:val="0"/>
              <w:spacing w:line="360" w:lineRule="auto"/>
              <w:jc w:val="center"/>
              <w:rPr>
                <w:rFonts w:ascii="宋体" w:hAnsi="宋体"/>
                <w:color w:val="auto"/>
                <w:szCs w:val="21"/>
              </w:rPr>
            </w:pPr>
            <w:r>
              <w:rPr>
                <w:rFonts w:hint="eastAsia" w:ascii="宋体" w:hAnsi="宋体"/>
                <w:color w:val="auto"/>
                <w:szCs w:val="21"/>
              </w:rPr>
              <w:t>法定代表人身份证（反面）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674CAA4E">
      <w:pPr>
        <w:adjustRightInd w:val="0"/>
        <w:snapToGrid w:val="0"/>
        <w:spacing w:line="360" w:lineRule="auto"/>
        <w:ind w:firstLine="420" w:firstLineChars="200"/>
        <w:rPr>
          <w:rFonts w:ascii="宋体" w:hAnsi="宋体"/>
          <w:color w:val="auto"/>
          <w:szCs w:val="21"/>
        </w:rPr>
      </w:pPr>
    </w:p>
    <w:p w14:paraId="26AEBD48">
      <w:pPr>
        <w:adjustRightInd w:val="0"/>
        <w:snapToGrid w:val="0"/>
        <w:spacing w:line="360" w:lineRule="auto"/>
        <w:ind w:firstLine="420" w:firstLineChars="200"/>
        <w:rPr>
          <w:rFonts w:ascii="宋体" w:hAnsi="宋体"/>
          <w:color w:val="auto"/>
          <w:szCs w:val="21"/>
        </w:rPr>
      </w:pPr>
    </w:p>
    <w:p w14:paraId="2AEA8617">
      <w:pPr>
        <w:adjustRightInd w:val="0"/>
        <w:snapToGrid w:val="0"/>
        <w:spacing w:line="360" w:lineRule="auto"/>
        <w:rPr>
          <w:rFonts w:ascii="宋体" w:hAnsi="宋体"/>
          <w:color w:val="auto"/>
          <w:szCs w:val="21"/>
        </w:rPr>
      </w:pPr>
      <w:r>
        <w:rPr>
          <w:rFonts w:hint="eastAsia" w:ascii="宋体" w:hAnsi="宋体"/>
          <w:color w:val="auto"/>
          <w:szCs w:val="21"/>
        </w:rPr>
        <w:t>注：投标人代表不是投标人的法定代表人（单位负责人）的提供。</w:t>
      </w:r>
    </w:p>
    <w:p w14:paraId="4DB47F84">
      <w:pPr>
        <w:adjustRightInd w:val="0"/>
        <w:snapToGrid w:val="0"/>
        <w:spacing w:line="360" w:lineRule="auto"/>
        <w:ind w:firstLine="420" w:firstLineChars="200"/>
        <w:rPr>
          <w:rFonts w:ascii="宋体" w:hAnsi="宋体"/>
          <w:color w:val="auto"/>
          <w:szCs w:val="21"/>
        </w:rPr>
      </w:pPr>
    </w:p>
    <w:p w14:paraId="340579C2">
      <w:pPr>
        <w:adjustRightInd w:val="0"/>
        <w:snapToGrid w:val="0"/>
        <w:spacing w:line="360" w:lineRule="auto"/>
        <w:ind w:firstLine="420" w:firstLineChars="200"/>
        <w:rPr>
          <w:rFonts w:ascii="宋体" w:hAnsi="宋体"/>
          <w:color w:val="auto"/>
          <w:szCs w:val="21"/>
        </w:rPr>
      </w:pPr>
    </w:p>
    <w:p w14:paraId="23EF56BF">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2E38BB97">
      <w:pPr>
        <w:adjustRightInd w:val="0"/>
        <w:snapToGrid w:val="0"/>
        <w:spacing w:line="360" w:lineRule="auto"/>
        <w:ind w:right="420"/>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（签字或印章）：</w:t>
      </w:r>
      <w:r>
        <w:rPr>
          <w:rFonts w:hint="eastAsia" w:ascii="宋体" w:hAnsi="宋体"/>
          <w:color w:val="auto"/>
          <w:szCs w:val="21"/>
          <w:u w:val="single"/>
        </w:rPr>
        <w:t xml:space="preserve">                     </w:t>
      </w:r>
    </w:p>
    <w:p w14:paraId="598C5EA8">
      <w:pPr>
        <w:adjustRightInd w:val="0"/>
        <w:snapToGrid w:val="0"/>
        <w:spacing w:line="360" w:lineRule="auto"/>
        <w:ind w:right="420"/>
        <w:rPr>
          <w:rFonts w:ascii="宋体" w:hAnsi="宋体"/>
          <w:color w:val="auto"/>
          <w:szCs w:val="21"/>
        </w:rPr>
      </w:pPr>
      <w:r>
        <w:rPr>
          <w:rFonts w:hint="eastAsia" w:ascii="宋体" w:hAnsi="宋体"/>
          <w:color w:val="auto"/>
          <w:szCs w:val="21"/>
        </w:rPr>
        <w:t>委托代理人（签字或印章）：</w:t>
      </w:r>
      <w:r>
        <w:rPr>
          <w:rFonts w:hint="eastAsia" w:ascii="宋体" w:hAnsi="宋体"/>
          <w:color w:val="auto"/>
          <w:szCs w:val="21"/>
          <w:u w:val="single"/>
        </w:rPr>
        <w:t xml:space="preserve">                     </w:t>
      </w:r>
    </w:p>
    <w:p w14:paraId="3EB67BFD">
      <w:pPr>
        <w:adjustRightInd w:val="0"/>
        <w:snapToGrid w:val="0"/>
        <w:spacing w:line="360" w:lineRule="auto"/>
        <w:ind w:right="420"/>
        <w:rPr>
          <w:rFonts w:ascii="宋体" w:hAnsi="宋体"/>
          <w:color w:val="auto"/>
          <w:szCs w:val="21"/>
        </w:rPr>
      </w:pPr>
      <w:r>
        <w:rPr>
          <w:rFonts w:hint="eastAsia" w:ascii="宋体" w:hAnsi="宋体" w:cs="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7DDFF383">
      <w:pPr>
        <w:adjustRightInd w:val="0"/>
        <w:snapToGrid w:val="0"/>
        <w:spacing w:line="360" w:lineRule="auto"/>
        <w:jc w:val="left"/>
        <w:rPr>
          <w:rFonts w:ascii="黑体" w:hAnsi="黑体" w:eastAsia="黑体"/>
          <w:bCs/>
          <w:color w:val="auto"/>
          <w:sz w:val="28"/>
          <w:szCs w:val="28"/>
        </w:rPr>
      </w:pPr>
      <w:r>
        <w:rPr>
          <w:rFonts w:ascii="黑体" w:hAnsi="黑体" w:eastAsia="黑体"/>
          <w:bCs/>
          <w:color w:val="auto"/>
          <w:sz w:val="28"/>
          <w:szCs w:val="28"/>
        </w:rPr>
        <w:br w:type="page"/>
      </w:r>
    </w:p>
    <w:p w14:paraId="38E88C62">
      <w:pPr>
        <w:pStyle w:val="14"/>
        <w:adjustRightInd w:val="0"/>
        <w:snapToGrid w:val="0"/>
        <w:spacing w:before="0" w:after="0" w:line="360" w:lineRule="auto"/>
        <w:jc w:val="center"/>
        <w:rPr>
          <w:rFonts w:ascii="黑体" w:hAnsi="宋体" w:eastAsia="黑体"/>
          <w:color w:val="auto"/>
          <w:sz w:val="28"/>
          <w:szCs w:val="28"/>
        </w:rPr>
      </w:pPr>
      <w:bookmarkStart w:id="85" w:name="_Toc11741"/>
      <w:r>
        <w:rPr>
          <w:rFonts w:hint="eastAsia" w:ascii="黑体" w:hAnsi="宋体" w:eastAsia="黑体"/>
          <w:color w:val="auto"/>
          <w:sz w:val="28"/>
          <w:szCs w:val="28"/>
        </w:rPr>
        <w:t>三、投标人提供的资格证明文件</w:t>
      </w:r>
      <w:bookmarkEnd w:id="85"/>
      <w:bookmarkStart w:id="86" w:name="_Toc294186060"/>
      <w:bookmarkStart w:id="87" w:name="_Toc294206743"/>
    </w:p>
    <w:p w14:paraId="7FC4D4F0">
      <w:pPr>
        <w:pStyle w:val="19"/>
        <w:adjustRightInd w:val="0"/>
        <w:snapToGrid w:val="0"/>
        <w:spacing w:line="360" w:lineRule="auto"/>
        <w:jc w:val="center"/>
        <w:rPr>
          <w:rFonts w:hAnsi="宋体" w:cs="Times New Roman"/>
          <w:b/>
          <w:bCs/>
          <w:color w:val="auto"/>
          <w:sz w:val="24"/>
          <w:szCs w:val="24"/>
        </w:rPr>
      </w:pPr>
    </w:p>
    <w:p w14:paraId="5ED2F300">
      <w:pPr>
        <w:pStyle w:val="19"/>
        <w:adjustRightInd w:val="0"/>
        <w:snapToGrid w:val="0"/>
        <w:spacing w:line="360" w:lineRule="auto"/>
        <w:jc w:val="center"/>
        <w:rPr>
          <w:rFonts w:ascii="黑体" w:hAnsi="黑体" w:eastAsia="黑体" w:cs="Times New Roman"/>
          <w:b/>
          <w:bCs/>
          <w:color w:val="auto"/>
          <w:sz w:val="28"/>
          <w:szCs w:val="28"/>
        </w:rPr>
      </w:pPr>
      <w:r>
        <w:rPr>
          <w:rFonts w:hint="eastAsia" w:ascii="黑体" w:hAnsi="黑体" w:eastAsia="黑体" w:cs="Times New Roman"/>
          <w:b/>
          <w:bCs/>
          <w:color w:val="auto"/>
          <w:sz w:val="28"/>
          <w:szCs w:val="28"/>
        </w:rPr>
        <w:t>须  知</w:t>
      </w:r>
    </w:p>
    <w:p w14:paraId="4B2F91DE">
      <w:pPr>
        <w:tabs>
          <w:tab w:val="left" w:pos="4725"/>
        </w:tabs>
        <w:adjustRightInd w:val="0"/>
        <w:snapToGrid w:val="0"/>
        <w:spacing w:beforeLines="50" w:line="360" w:lineRule="auto"/>
        <w:ind w:firstLine="422" w:firstLineChars="200"/>
        <w:rPr>
          <w:rFonts w:ascii="宋体" w:hAnsi="宋体"/>
          <w:b/>
          <w:bCs/>
          <w:color w:val="auto"/>
          <w:szCs w:val="21"/>
        </w:rPr>
      </w:pPr>
      <w:r>
        <w:rPr>
          <w:rFonts w:hint="eastAsia" w:ascii="宋体" w:hAnsi="宋体"/>
          <w:b/>
          <w:color w:val="auto"/>
          <w:szCs w:val="21"/>
        </w:rPr>
        <w:t>1、投标人</w:t>
      </w:r>
      <w:r>
        <w:rPr>
          <w:rFonts w:hint="eastAsia" w:ascii="宋体" w:hAnsi="宋体"/>
          <w:b/>
          <w:bCs/>
          <w:color w:val="auto"/>
          <w:szCs w:val="21"/>
        </w:rPr>
        <w:t>应按公告要求提供下列的证明材料</w:t>
      </w:r>
    </w:p>
    <w:p w14:paraId="50CC643F">
      <w:pPr>
        <w:tabs>
          <w:tab w:val="left" w:pos="4725"/>
        </w:tabs>
        <w:adjustRightInd w:val="0"/>
        <w:snapToGrid w:val="0"/>
        <w:spacing w:beforeLines="50" w:line="360" w:lineRule="auto"/>
        <w:ind w:firstLine="735" w:firstLineChars="350"/>
        <w:rPr>
          <w:rFonts w:ascii="宋体" w:hAnsi="宋体"/>
          <w:color w:val="auto"/>
          <w:szCs w:val="21"/>
        </w:rPr>
      </w:pPr>
      <w:r>
        <w:rPr>
          <w:rFonts w:hint="eastAsia" w:ascii="宋体" w:hAnsi="宋体"/>
          <w:color w:val="auto"/>
          <w:szCs w:val="21"/>
        </w:rPr>
        <w:t>附件4-1 法人或者其他组织的营业执照等主体资格证明文件，自然人的身份证明</w:t>
      </w:r>
    </w:p>
    <w:p w14:paraId="78D35CA0">
      <w:pPr>
        <w:tabs>
          <w:tab w:val="left" w:pos="4725"/>
        </w:tabs>
        <w:adjustRightInd w:val="0"/>
        <w:snapToGrid w:val="0"/>
        <w:spacing w:beforeLines="50" w:line="360" w:lineRule="auto"/>
        <w:ind w:firstLine="735" w:firstLineChars="350"/>
        <w:rPr>
          <w:rFonts w:ascii="宋体" w:hAnsi="宋体"/>
          <w:color w:val="auto"/>
          <w:szCs w:val="21"/>
        </w:rPr>
      </w:pPr>
      <w:r>
        <w:rPr>
          <w:rFonts w:hint="eastAsia" w:ascii="宋体" w:hAnsi="宋体"/>
          <w:color w:val="auto"/>
          <w:szCs w:val="21"/>
        </w:rPr>
        <w:t>附件4-2 湖南省政府采购供应商资格承诺函(格式)</w:t>
      </w:r>
    </w:p>
    <w:p w14:paraId="53A12533">
      <w:pPr>
        <w:tabs>
          <w:tab w:val="left" w:pos="4725"/>
        </w:tabs>
        <w:adjustRightInd w:val="0"/>
        <w:snapToGrid w:val="0"/>
        <w:spacing w:beforeLines="50" w:line="360" w:lineRule="auto"/>
        <w:ind w:firstLine="735" w:firstLineChars="350"/>
        <w:rPr>
          <w:rFonts w:ascii="宋体" w:hAnsi="宋体"/>
          <w:color w:val="auto"/>
          <w:szCs w:val="21"/>
        </w:rPr>
      </w:pPr>
      <w:r>
        <w:rPr>
          <w:rFonts w:hint="eastAsia" w:ascii="宋体" w:hAnsi="宋体"/>
          <w:color w:val="auto"/>
          <w:szCs w:val="21"/>
        </w:rPr>
        <w:t>附件4-3 符合特定资格条件证明材料复印件或者情况说明</w:t>
      </w:r>
    </w:p>
    <w:p w14:paraId="7181D460">
      <w:pPr>
        <w:tabs>
          <w:tab w:val="left" w:pos="4725"/>
        </w:tabs>
        <w:adjustRightInd w:val="0"/>
        <w:snapToGrid w:val="0"/>
        <w:spacing w:beforeLines="50" w:line="360" w:lineRule="auto"/>
        <w:ind w:firstLine="735" w:firstLineChars="350"/>
        <w:rPr>
          <w:rFonts w:ascii="宋体" w:hAnsi="宋体"/>
          <w:color w:val="auto"/>
          <w:szCs w:val="21"/>
        </w:rPr>
      </w:pPr>
      <w:r>
        <w:rPr>
          <w:rFonts w:hint="eastAsia" w:ascii="宋体" w:hAnsi="宋体"/>
          <w:color w:val="auto"/>
          <w:szCs w:val="21"/>
        </w:rPr>
        <w:t>附件4-4 联合体协议书（格式）（联合体形式投标的提供）</w:t>
      </w:r>
    </w:p>
    <w:p w14:paraId="15E081AA">
      <w:pPr>
        <w:tabs>
          <w:tab w:val="left" w:pos="4725"/>
        </w:tabs>
        <w:adjustRightInd w:val="0"/>
        <w:snapToGrid w:val="0"/>
        <w:spacing w:beforeLines="50" w:line="360" w:lineRule="auto"/>
        <w:ind w:firstLine="420" w:firstLineChars="200"/>
        <w:rPr>
          <w:rFonts w:ascii="宋体" w:hAnsi="宋体" w:cs="宋体"/>
          <w:color w:val="auto"/>
          <w:szCs w:val="21"/>
        </w:rPr>
      </w:pPr>
      <w:r>
        <w:rPr>
          <w:rFonts w:hint="eastAsia" w:ascii="宋体" w:hAnsi="宋体"/>
          <w:color w:val="auto"/>
          <w:szCs w:val="21"/>
        </w:rPr>
        <w:t>2、</w:t>
      </w:r>
      <w:r>
        <w:rPr>
          <w:rFonts w:hint="eastAsia" w:ascii="宋体" w:hAnsi="宋体" w:cs="宋体"/>
          <w:color w:val="auto"/>
          <w:szCs w:val="21"/>
        </w:rPr>
        <w:t>投标人以联合体形式投标的，除应提交联合协议书(本节附4-4)外，参加联合体的各方均应提交上款资格证明材料。</w:t>
      </w:r>
    </w:p>
    <w:p w14:paraId="11777EF6">
      <w:pPr>
        <w:tabs>
          <w:tab w:val="left" w:pos="4725"/>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3、供应商认为应该提交的其他资格证明文件。</w:t>
      </w:r>
    </w:p>
    <w:p w14:paraId="0D8D1266">
      <w:pPr>
        <w:pStyle w:val="2"/>
        <w:ind w:firstLine="480"/>
        <w:rPr>
          <w:color w:val="auto"/>
        </w:rPr>
      </w:pPr>
    </w:p>
    <w:p w14:paraId="47376B3D">
      <w:pPr>
        <w:tabs>
          <w:tab w:val="left" w:pos="4725"/>
        </w:tabs>
        <w:adjustRightInd w:val="0"/>
        <w:snapToGrid w:val="0"/>
        <w:spacing w:line="360" w:lineRule="auto"/>
        <w:rPr>
          <w:rFonts w:ascii="宋体" w:hAnsi="宋体" w:cs="宋体"/>
          <w:color w:val="auto"/>
          <w:szCs w:val="21"/>
        </w:rPr>
      </w:pPr>
    </w:p>
    <w:p w14:paraId="7E9C44A8">
      <w:pPr>
        <w:widowControl/>
        <w:adjustRightInd w:val="0"/>
        <w:snapToGrid w:val="0"/>
        <w:spacing w:line="360" w:lineRule="auto"/>
        <w:jc w:val="left"/>
        <w:rPr>
          <w:rFonts w:ascii="黑体" w:hAnsi="仿宋" w:eastAsia="黑体" w:cs="宋体"/>
          <w:color w:val="auto"/>
          <w:sz w:val="10"/>
          <w:szCs w:val="10"/>
        </w:rPr>
      </w:pPr>
      <w:r>
        <w:rPr>
          <w:rFonts w:ascii="黑体" w:hAnsi="仿宋" w:eastAsia="黑体" w:cs="宋体"/>
          <w:color w:val="auto"/>
          <w:szCs w:val="21"/>
        </w:rPr>
        <w:br w:type="page"/>
      </w:r>
    </w:p>
    <w:p w14:paraId="3282097A">
      <w:pPr>
        <w:pStyle w:val="15"/>
        <w:rPr>
          <w:rFonts w:ascii="黑体" w:hAnsi="仿宋" w:cs="宋体"/>
          <w:b w:val="0"/>
          <w:color w:val="auto"/>
          <w:sz w:val="21"/>
          <w:szCs w:val="21"/>
        </w:rPr>
      </w:pPr>
      <w:bookmarkStart w:id="88" w:name="_Toc590"/>
      <w:r>
        <w:rPr>
          <w:rFonts w:hint="eastAsia" w:ascii="黑体" w:hAnsi="仿宋" w:cs="宋体"/>
          <w:b w:val="0"/>
          <w:color w:val="auto"/>
          <w:sz w:val="21"/>
          <w:szCs w:val="21"/>
        </w:rPr>
        <w:t>附件4-1 法人或者其他组织的营业执照等主体资格证明文件，自然人的身份证明</w:t>
      </w:r>
      <w:bookmarkEnd w:id="88"/>
    </w:p>
    <w:p w14:paraId="1C604219">
      <w:pPr>
        <w:widowControl/>
        <w:adjustRightInd w:val="0"/>
        <w:snapToGrid w:val="0"/>
        <w:spacing w:line="360" w:lineRule="auto"/>
        <w:jc w:val="center"/>
        <w:rPr>
          <w:rFonts w:ascii="黑体" w:hAnsi="仿宋" w:eastAsia="黑体" w:cs="宋体"/>
          <w:b/>
          <w:color w:val="auto"/>
          <w:sz w:val="28"/>
          <w:szCs w:val="28"/>
        </w:rPr>
      </w:pPr>
      <w:r>
        <w:rPr>
          <w:rFonts w:hint="eastAsia" w:ascii="黑体" w:hAnsi="仿宋" w:eastAsia="黑体" w:cs="宋体"/>
          <w:b/>
          <w:color w:val="auto"/>
          <w:sz w:val="28"/>
          <w:szCs w:val="28"/>
        </w:rPr>
        <w:t>法人或者其他组织的营业执照等主体资格证明文件，自然人的身份证明</w:t>
      </w:r>
    </w:p>
    <w:p w14:paraId="757AEC74">
      <w:pPr>
        <w:widowControl/>
        <w:adjustRightInd w:val="0"/>
        <w:snapToGrid w:val="0"/>
        <w:spacing w:beforeLines="50" w:line="360" w:lineRule="auto"/>
        <w:ind w:firstLine="420" w:firstLineChars="200"/>
        <w:jc w:val="left"/>
        <w:rPr>
          <w:rFonts w:ascii="宋体" w:hAnsi="宋体" w:cs="宋体"/>
          <w:color w:val="auto"/>
          <w:szCs w:val="21"/>
        </w:rPr>
      </w:pPr>
    </w:p>
    <w:p w14:paraId="7BB8E897">
      <w:pPr>
        <w:adjustRightInd w:val="0"/>
        <w:snapToGrid w:val="0"/>
        <w:spacing w:beforeLines="50" w:line="360" w:lineRule="auto"/>
        <w:ind w:firstLine="420" w:firstLineChars="200"/>
        <w:rPr>
          <w:rFonts w:ascii="宋体" w:hAnsi="宋体"/>
          <w:color w:val="auto"/>
        </w:rPr>
      </w:pPr>
      <w:r>
        <w:rPr>
          <w:rFonts w:hint="eastAsia" w:ascii="宋体" w:hAnsi="宋体" w:cs="宋体"/>
          <w:color w:val="auto"/>
          <w:szCs w:val="21"/>
        </w:rPr>
        <w:t>（1）</w:t>
      </w:r>
      <w:r>
        <w:rPr>
          <w:rFonts w:hint="eastAsia" w:ascii="宋体" w:hAnsi="宋体"/>
          <w:color w:val="auto"/>
        </w:rPr>
        <w:t>投标人为法人的，应提交营业执照或法人登记证书的复印件；</w:t>
      </w:r>
    </w:p>
    <w:p w14:paraId="294289A5">
      <w:pPr>
        <w:adjustRightInd w:val="0"/>
        <w:snapToGrid w:val="0"/>
        <w:spacing w:beforeLines="50" w:line="360" w:lineRule="auto"/>
        <w:ind w:firstLine="420" w:firstLineChars="200"/>
        <w:rPr>
          <w:rFonts w:ascii="宋体" w:hAnsi="宋体"/>
          <w:color w:val="auto"/>
        </w:rPr>
      </w:pPr>
      <w:r>
        <w:rPr>
          <w:rFonts w:hint="eastAsia" w:ascii="宋体" w:hAnsi="宋体" w:cs="宋体"/>
          <w:color w:val="auto"/>
          <w:szCs w:val="21"/>
        </w:rPr>
        <w:t>（2）</w:t>
      </w:r>
      <w:r>
        <w:rPr>
          <w:rFonts w:hint="eastAsia" w:ascii="宋体" w:hAnsi="宋体"/>
          <w:color w:val="auto"/>
        </w:rPr>
        <w:t>投标人为非法人组织的，应提交依法登记证书复印件；</w:t>
      </w:r>
    </w:p>
    <w:p w14:paraId="5E399132">
      <w:pPr>
        <w:adjustRightInd w:val="0"/>
        <w:snapToGrid w:val="0"/>
        <w:spacing w:beforeLines="50" w:line="360" w:lineRule="auto"/>
        <w:ind w:firstLine="420" w:firstLineChars="200"/>
        <w:rPr>
          <w:rFonts w:ascii="宋体" w:hAnsi="宋体"/>
          <w:color w:val="auto"/>
        </w:rPr>
      </w:pPr>
      <w:r>
        <w:rPr>
          <w:rFonts w:hint="eastAsia" w:ascii="宋体" w:hAnsi="宋体" w:cs="宋体"/>
          <w:color w:val="auto"/>
          <w:szCs w:val="21"/>
        </w:rPr>
        <w:t>（3）</w:t>
      </w:r>
      <w:r>
        <w:rPr>
          <w:rFonts w:hint="eastAsia" w:ascii="宋体" w:hAnsi="宋体"/>
          <w:color w:val="auto"/>
        </w:rPr>
        <w:t>投标人为个体工商户的，应提交个体工商户营业执照复印件；</w:t>
      </w:r>
    </w:p>
    <w:p w14:paraId="084BC599">
      <w:pPr>
        <w:adjustRightInd w:val="0"/>
        <w:snapToGrid w:val="0"/>
        <w:spacing w:beforeLines="50" w:line="360" w:lineRule="auto"/>
        <w:ind w:firstLine="420" w:firstLineChars="200"/>
        <w:rPr>
          <w:rFonts w:ascii="宋体" w:hAnsi="宋体"/>
          <w:color w:val="auto"/>
        </w:rPr>
      </w:pPr>
      <w:r>
        <w:rPr>
          <w:rFonts w:hint="eastAsia" w:ascii="宋体" w:hAnsi="宋体" w:cs="宋体"/>
          <w:color w:val="auto"/>
          <w:szCs w:val="21"/>
        </w:rPr>
        <w:t>（4）</w:t>
      </w:r>
      <w:r>
        <w:rPr>
          <w:rFonts w:hint="eastAsia" w:ascii="宋体" w:hAnsi="宋体"/>
          <w:color w:val="auto"/>
        </w:rPr>
        <w:t>投标人为自然人的，应提交自然人的身份证明复印件。</w:t>
      </w:r>
    </w:p>
    <w:p w14:paraId="150F36C0">
      <w:pPr>
        <w:adjustRightInd w:val="0"/>
        <w:snapToGrid w:val="0"/>
        <w:spacing w:beforeLines="50" w:line="360" w:lineRule="auto"/>
        <w:ind w:firstLine="420" w:firstLineChars="200"/>
        <w:rPr>
          <w:rFonts w:ascii="宋体" w:hAnsi="宋体"/>
          <w:color w:val="auto"/>
        </w:rPr>
      </w:pPr>
    </w:p>
    <w:p w14:paraId="0DF02B06">
      <w:pPr>
        <w:widowControl/>
        <w:jc w:val="left"/>
        <w:rPr>
          <w:rFonts w:ascii="黑体" w:hAnsi="仿宋" w:eastAsia="黑体" w:cs="宋体"/>
          <w:bCs/>
          <w:color w:val="auto"/>
          <w:sz w:val="10"/>
          <w:szCs w:val="10"/>
        </w:rPr>
      </w:pPr>
      <w:r>
        <w:rPr>
          <w:rFonts w:ascii="黑体" w:hAnsi="仿宋" w:cs="宋体"/>
          <w:b/>
          <w:color w:val="auto"/>
          <w:szCs w:val="21"/>
        </w:rPr>
        <w:br w:type="page"/>
      </w:r>
    </w:p>
    <w:p w14:paraId="46FEC3C7">
      <w:pPr>
        <w:pStyle w:val="15"/>
        <w:adjustRightInd w:val="0"/>
        <w:snapToGrid w:val="0"/>
        <w:spacing w:beforeLines="50" w:after="0" w:line="360" w:lineRule="auto"/>
        <w:rPr>
          <w:rFonts w:ascii="黑体" w:hAnsi="仿宋" w:cs="宋体"/>
          <w:b w:val="0"/>
          <w:color w:val="auto"/>
          <w:sz w:val="21"/>
          <w:szCs w:val="21"/>
        </w:rPr>
      </w:pPr>
      <w:bookmarkStart w:id="89" w:name="_Toc24449"/>
      <w:r>
        <w:rPr>
          <w:rFonts w:hint="eastAsia" w:ascii="黑体" w:hAnsi="仿宋" w:cs="宋体"/>
          <w:b w:val="0"/>
          <w:color w:val="auto"/>
          <w:sz w:val="21"/>
          <w:szCs w:val="21"/>
        </w:rPr>
        <w:t>附件4-2 湖南省政府采购供应商资格承诺函(格式)</w:t>
      </w:r>
      <w:bookmarkEnd w:id="89"/>
    </w:p>
    <w:p w14:paraId="0D7000FE">
      <w:pPr>
        <w:widowControl/>
        <w:adjustRightInd w:val="0"/>
        <w:snapToGrid w:val="0"/>
        <w:spacing w:beforeLines="150" w:line="360" w:lineRule="auto"/>
        <w:jc w:val="center"/>
        <w:rPr>
          <w:rFonts w:ascii="宋体" w:hAnsi="宋体" w:cs="宋体"/>
          <w:color w:val="auto"/>
          <w:szCs w:val="21"/>
        </w:rPr>
      </w:pPr>
      <w:r>
        <w:rPr>
          <w:rFonts w:hint="eastAsia" w:ascii="黑体" w:hAnsi="仿宋" w:eastAsia="黑体" w:cs="宋体"/>
          <w:b/>
          <w:color w:val="auto"/>
          <w:sz w:val="28"/>
          <w:szCs w:val="28"/>
        </w:rPr>
        <w:t>湖南省政府采购供应商资格承诺函(格式)</w:t>
      </w:r>
    </w:p>
    <w:p w14:paraId="01CC6EA9">
      <w:pPr>
        <w:widowControl/>
        <w:spacing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6A7CEA04">
      <w:pPr>
        <w:widowControl/>
        <w:spacing w:beforeLines="50" w:line="360" w:lineRule="auto"/>
        <w:ind w:firstLine="420" w:firstLineChars="200"/>
        <w:jc w:val="left"/>
        <w:rPr>
          <w:rFonts w:ascii="宋体" w:hAnsi="宋体" w:cs="宋体"/>
          <w:color w:val="auto"/>
          <w:szCs w:val="21"/>
        </w:rPr>
      </w:pPr>
    </w:p>
    <w:p w14:paraId="3D5693E1">
      <w:pPr>
        <w:widowControl/>
        <w:spacing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公司(单位)名称(盖章)：</w:t>
      </w:r>
    </w:p>
    <w:p w14:paraId="0255F193">
      <w:pPr>
        <w:widowControl/>
        <w:spacing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机构代码、注册登记机构、日期、有效期、注册资本、地 址、经济行业、经济性质</w:t>
      </w:r>
    </w:p>
    <w:p w14:paraId="115D7062">
      <w:pPr>
        <w:widowControl/>
        <w:spacing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法定代表人(负责人)姓名(签字)、身份证号、手机号:</w:t>
      </w:r>
    </w:p>
    <w:p w14:paraId="2FF98080">
      <w:pPr>
        <w:widowControl/>
        <w:spacing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授权代表人姓名(签字)、身份证号、手机号:</w:t>
      </w:r>
    </w:p>
    <w:p w14:paraId="030355B5">
      <w:pPr>
        <w:widowControl/>
        <w:spacing w:beforeLines="50" w:line="360" w:lineRule="auto"/>
        <w:ind w:firstLine="420" w:firstLineChars="200"/>
        <w:jc w:val="left"/>
        <w:rPr>
          <w:rFonts w:ascii="宋体" w:hAnsi="宋体" w:cs="宋体"/>
          <w:color w:val="auto"/>
          <w:szCs w:val="21"/>
        </w:rPr>
      </w:pPr>
    </w:p>
    <w:p w14:paraId="6AD77D37">
      <w:pPr>
        <w:widowControl/>
        <w:spacing w:line="360" w:lineRule="auto"/>
        <w:ind w:firstLine="422" w:firstLineChars="200"/>
        <w:jc w:val="left"/>
        <w:rPr>
          <w:rFonts w:ascii="黑体" w:hAnsi="仿宋" w:eastAsia="黑体" w:cs="宋体"/>
          <w:bCs/>
          <w:color w:val="auto"/>
          <w:sz w:val="10"/>
          <w:szCs w:val="10"/>
        </w:rPr>
      </w:pPr>
      <w:r>
        <w:rPr>
          <w:rFonts w:ascii="黑体" w:hAnsi="仿宋" w:cs="宋体"/>
          <w:b/>
          <w:color w:val="auto"/>
          <w:szCs w:val="21"/>
        </w:rPr>
        <w:br w:type="page"/>
      </w:r>
    </w:p>
    <w:p w14:paraId="32EF3B00">
      <w:pPr>
        <w:pStyle w:val="15"/>
        <w:spacing w:before="0"/>
        <w:rPr>
          <w:rFonts w:ascii="黑体" w:hAnsi="仿宋" w:cs="宋体"/>
          <w:b w:val="0"/>
          <w:color w:val="auto"/>
          <w:sz w:val="21"/>
          <w:szCs w:val="21"/>
        </w:rPr>
      </w:pPr>
      <w:bookmarkStart w:id="90" w:name="_Toc13891"/>
      <w:r>
        <w:rPr>
          <w:rFonts w:hint="eastAsia" w:ascii="黑体" w:hAnsi="仿宋" w:cs="宋体"/>
          <w:b w:val="0"/>
          <w:color w:val="auto"/>
          <w:sz w:val="21"/>
          <w:szCs w:val="21"/>
        </w:rPr>
        <w:t>附件4-3 符合特定资格条件证明材料复印件或者情况说明</w:t>
      </w:r>
      <w:bookmarkEnd w:id="90"/>
    </w:p>
    <w:p w14:paraId="38D9799D">
      <w:pPr>
        <w:widowControl/>
        <w:adjustRightInd w:val="0"/>
        <w:snapToGrid w:val="0"/>
        <w:spacing w:line="360" w:lineRule="auto"/>
        <w:jc w:val="center"/>
        <w:rPr>
          <w:rFonts w:ascii="黑体" w:hAnsi="仿宋" w:eastAsia="黑体" w:cs="宋体"/>
          <w:b/>
          <w:color w:val="auto"/>
          <w:sz w:val="28"/>
          <w:szCs w:val="28"/>
        </w:rPr>
      </w:pPr>
      <w:r>
        <w:rPr>
          <w:rFonts w:hint="eastAsia" w:ascii="黑体" w:hAnsi="仿宋" w:eastAsia="黑体" w:cs="宋体"/>
          <w:b/>
          <w:color w:val="auto"/>
          <w:sz w:val="28"/>
          <w:szCs w:val="28"/>
        </w:rPr>
        <w:t>符合特定资格条件证明材料复印件或者情况说明</w:t>
      </w:r>
    </w:p>
    <w:p w14:paraId="22F43CC1">
      <w:pPr>
        <w:widowControl/>
        <w:adjustRightInd w:val="0"/>
        <w:snapToGrid w:val="0"/>
        <w:spacing w:line="360" w:lineRule="auto"/>
        <w:ind w:firstLine="560" w:firstLineChars="200"/>
        <w:jc w:val="left"/>
        <w:rPr>
          <w:rFonts w:ascii="黑体" w:hAnsi="仿宋" w:eastAsia="黑体" w:cs="宋体"/>
          <w:color w:val="auto"/>
          <w:sz w:val="28"/>
          <w:szCs w:val="28"/>
        </w:rPr>
      </w:pPr>
    </w:p>
    <w:p w14:paraId="3842A902">
      <w:pPr>
        <w:widowControl/>
        <w:jc w:val="left"/>
        <w:rPr>
          <w:rFonts w:ascii="黑体" w:hAnsi="仿宋" w:eastAsia="黑体" w:cs="宋体"/>
          <w:color w:val="auto"/>
          <w:sz w:val="10"/>
          <w:szCs w:val="10"/>
        </w:rPr>
      </w:pPr>
      <w:r>
        <w:rPr>
          <w:rFonts w:ascii="黑体" w:hAnsi="仿宋" w:eastAsia="黑体" w:cs="宋体"/>
          <w:color w:val="auto"/>
          <w:szCs w:val="21"/>
        </w:rPr>
        <w:br w:type="page"/>
      </w:r>
    </w:p>
    <w:p w14:paraId="62E502DE">
      <w:pPr>
        <w:pStyle w:val="15"/>
        <w:spacing w:before="0"/>
        <w:rPr>
          <w:rFonts w:ascii="黑体" w:hAnsi="宋体" w:cs="宋体"/>
          <w:b w:val="0"/>
          <w:color w:val="auto"/>
          <w:kern w:val="0"/>
          <w:sz w:val="21"/>
          <w:szCs w:val="21"/>
        </w:rPr>
      </w:pPr>
      <w:bookmarkStart w:id="91" w:name="_Toc11547"/>
      <w:r>
        <w:rPr>
          <w:rFonts w:hint="eastAsia" w:ascii="黑体" w:hAnsi="仿宋" w:cs="宋体"/>
          <w:b w:val="0"/>
          <w:color w:val="auto"/>
          <w:sz w:val="21"/>
          <w:szCs w:val="21"/>
        </w:rPr>
        <w:t>附件4-4 联合体协议书（格式）</w:t>
      </w:r>
      <w:bookmarkEnd w:id="91"/>
    </w:p>
    <w:p w14:paraId="7B84C2D5">
      <w:pPr>
        <w:adjustRightInd w:val="0"/>
        <w:snapToGrid w:val="0"/>
        <w:spacing w:line="360" w:lineRule="auto"/>
        <w:jc w:val="center"/>
        <w:rPr>
          <w:rFonts w:ascii="宋体" w:hAnsi="宋体"/>
          <w:b/>
          <w:color w:val="auto"/>
          <w:szCs w:val="21"/>
        </w:rPr>
      </w:pPr>
      <w:r>
        <w:rPr>
          <w:rFonts w:hint="eastAsia" w:ascii="黑体" w:hAnsi="仿宋" w:eastAsia="黑体" w:cs="宋体"/>
          <w:b/>
          <w:color w:val="auto"/>
          <w:sz w:val="28"/>
          <w:szCs w:val="28"/>
        </w:rPr>
        <w:t>联合体协议书（格式）</w:t>
      </w:r>
    </w:p>
    <w:p w14:paraId="54E8F7AC">
      <w:pPr>
        <w:adjustRightInd w:val="0"/>
        <w:snapToGrid w:val="0"/>
        <w:spacing w:line="360" w:lineRule="auto"/>
        <w:rPr>
          <w:rFonts w:ascii="宋体" w:hAnsi="宋体"/>
          <w:color w:val="auto"/>
          <w:szCs w:val="21"/>
        </w:rPr>
      </w:pPr>
    </w:p>
    <w:p w14:paraId="0F934756">
      <w:pPr>
        <w:adjustRightInd w:val="0"/>
        <w:snapToGrid w:val="0"/>
        <w:spacing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（采购人）：</w:t>
      </w:r>
    </w:p>
    <w:p w14:paraId="05B8EF5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经研究，我们决定自愿组成联合体共同参加</w:t>
      </w:r>
      <w:r>
        <w:rPr>
          <w:rFonts w:hint="eastAsia" w:ascii="宋体" w:hAnsi="宋体"/>
          <w:color w:val="auto"/>
          <w:szCs w:val="21"/>
          <w:u w:val="single"/>
        </w:rPr>
        <w:t xml:space="preserve">                    </w:t>
      </w:r>
      <w:r>
        <w:rPr>
          <w:rFonts w:hint="eastAsia" w:ascii="宋体" w:hAnsi="宋体"/>
          <w:color w:val="auto"/>
          <w:szCs w:val="21"/>
        </w:rPr>
        <w:t>（项目名称</w:t>
      </w:r>
      <w:r>
        <w:rPr>
          <w:rFonts w:ascii="宋体" w:hAnsi="宋体"/>
          <w:color w:val="auto"/>
          <w:szCs w:val="21"/>
        </w:rPr>
        <w:t>）</w:t>
      </w:r>
      <w:r>
        <w:rPr>
          <w:rFonts w:hint="eastAsia" w:ascii="宋体" w:hAnsi="宋体"/>
          <w:color w:val="auto"/>
          <w:szCs w:val="21"/>
        </w:rPr>
        <w:t>项目的投标。现就联合体投标事宜订立如下协议：</w:t>
      </w:r>
    </w:p>
    <w:p w14:paraId="02A0AC0D">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一、联合体基本信息：</w:t>
      </w:r>
      <w:r>
        <w:rPr>
          <w:rFonts w:hint="eastAsia" w:ascii="宋体" w:hAnsi="宋体"/>
          <w:color w:val="auto"/>
          <w:szCs w:val="21"/>
          <w:u w:val="single"/>
        </w:rPr>
        <w:t xml:space="preserve">                </w:t>
      </w:r>
      <w:r>
        <w:rPr>
          <w:rFonts w:hint="eastAsia" w:ascii="宋体" w:hAnsi="宋体"/>
          <w:color w:val="auto"/>
          <w:szCs w:val="21"/>
        </w:rPr>
        <w:t>（各方公司名称、地址、注册资金、营业执照、</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姓名）</w:t>
      </w:r>
    </w:p>
    <w:p w14:paraId="417B5E2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二、</w:t>
      </w:r>
      <w:r>
        <w:rPr>
          <w:rFonts w:hint="eastAsia" w:ascii="宋体" w:hAnsi="宋体"/>
          <w:color w:val="auto"/>
          <w:szCs w:val="21"/>
          <w:u w:val="single"/>
        </w:rPr>
        <w:t xml:space="preserve">       </w:t>
      </w:r>
      <w:r>
        <w:rPr>
          <w:rFonts w:hint="eastAsia" w:ascii="宋体" w:hAnsi="宋体"/>
          <w:color w:val="auto"/>
          <w:szCs w:val="21"/>
        </w:rPr>
        <w:t>（某成员单位名称）为</w:t>
      </w:r>
      <w:r>
        <w:rPr>
          <w:rFonts w:hint="eastAsia" w:ascii="宋体" w:hAnsi="宋体"/>
          <w:color w:val="auto"/>
          <w:szCs w:val="21"/>
          <w:u w:val="single"/>
        </w:rPr>
        <w:t xml:space="preserve">        </w:t>
      </w:r>
      <w:r>
        <w:rPr>
          <w:rFonts w:hint="eastAsia" w:ascii="宋体" w:hAnsi="宋体"/>
          <w:color w:val="auto"/>
          <w:szCs w:val="21"/>
        </w:rPr>
        <w:t>（联合体名称）牵头人。</w:t>
      </w:r>
    </w:p>
    <w:p w14:paraId="065A1FE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39D2A35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四．联合体将严格按照招标文件的各项要求，递交投标文件，参加投标，履行中标义务和中标后的合同，并向采购人承担连带责任。</w:t>
      </w:r>
    </w:p>
    <w:p w14:paraId="7B223D69">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五、联合体各成员单位内部的职责分工如下：</w:t>
      </w:r>
      <w:r>
        <w:rPr>
          <w:rFonts w:hint="eastAsia" w:ascii="宋体" w:hAnsi="宋体"/>
          <w:color w:val="auto"/>
          <w:szCs w:val="21"/>
          <w:u w:val="single"/>
        </w:rPr>
        <w:t xml:space="preserve">             </w:t>
      </w:r>
      <w:r>
        <w:rPr>
          <w:rFonts w:hint="eastAsia" w:ascii="宋体" w:hAnsi="宋体"/>
          <w:color w:val="auto"/>
          <w:szCs w:val="21"/>
        </w:rPr>
        <w:t>。按照本条上述分工，联合体各成员的协议合同金额占联合体协议合同总金额比例如下：</w:t>
      </w:r>
      <w:r>
        <w:rPr>
          <w:rFonts w:hint="eastAsia" w:ascii="宋体" w:hAnsi="宋体"/>
          <w:color w:val="auto"/>
          <w:szCs w:val="21"/>
          <w:u w:val="single"/>
        </w:rPr>
        <w:t xml:space="preserve">               </w:t>
      </w:r>
      <w:r>
        <w:rPr>
          <w:rFonts w:hint="eastAsia" w:ascii="宋体" w:hAnsi="宋体"/>
          <w:color w:val="auto"/>
          <w:szCs w:val="21"/>
        </w:rPr>
        <w:t>。</w:t>
      </w:r>
    </w:p>
    <w:p w14:paraId="38D892D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六、本协议书自签署之日起生效，合同履行完毕后自动失效。</w:t>
      </w:r>
    </w:p>
    <w:p w14:paraId="3817C7E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七、本协议书一式</w:t>
      </w:r>
      <w:r>
        <w:rPr>
          <w:rFonts w:hint="eastAsia" w:ascii="宋体" w:hAnsi="宋体"/>
          <w:color w:val="auto"/>
          <w:szCs w:val="21"/>
          <w:u w:val="single"/>
        </w:rPr>
        <w:t xml:space="preserve">    </w:t>
      </w:r>
      <w:r>
        <w:rPr>
          <w:rFonts w:hint="eastAsia" w:ascii="宋体" w:hAnsi="宋体"/>
          <w:color w:val="auto"/>
          <w:szCs w:val="21"/>
        </w:rPr>
        <w:t>份，联合体成员和采购人各执一份。</w:t>
      </w:r>
    </w:p>
    <w:p w14:paraId="4B4399E7">
      <w:pPr>
        <w:adjustRightInd w:val="0"/>
        <w:snapToGrid w:val="0"/>
        <w:spacing w:line="360" w:lineRule="auto"/>
        <w:rPr>
          <w:rFonts w:ascii="宋体" w:hAnsi="宋体"/>
          <w:color w:val="auto"/>
          <w:szCs w:val="21"/>
        </w:rPr>
      </w:pPr>
    </w:p>
    <w:p w14:paraId="252FA869">
      <w:pPr>
        <w:adjustRightInd w:val="0"/>
        <w:snapToGrid w:val="0"/>
        <w:spacing w:line="360" w:lineRule="auto"/>
        <w:rPr>
          <w:rFonts w:ascii="宋体" w:hAnsi="宋体"/>
          <w:color w:val="auto"/>
          <w:szCs w:val="21"/>
        </w:rPr>
      </w:pPr>
      <w:r>
        <w:rPr>
          <w:rFonts w:hint="eastAsia" w:ascii="宋体" w:hAnsi="宋体"/>
          <w:color w:val="auto"/>
          <w:szCs w:val="21"/>
        </w:rPr>
        <w:t>牵头人名称（盖单位章）：</w:t>
      </w:r>
    </w:p>
    <w:p w14:paraId="29224E11">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14:paraId="610BDB73">
      <w:pPr>
        <w:adjustRightInd w:val="0"/>
        <w:snapToGrid w:val="0"/>
        <w:spacing w:line="360" w:lineRule="auto"/>
        <w:rPr>
          <w:rFonts w:ascii="宋体" w:hAnsi="宋体"/>
          <w:color w:val="auto"/>
          <w:szCs w:val="21"/>
        </w:rPr>
      </w:pPr>
    </w:p>
    <w:p w14:paraId="603A734F">
      <w:pPr>
        <w:adjustRightInd w:val="0"/>
        <w:snapToGrid w:val="0"/>
        <w:spacing w:line="360" w:lineRule="auto"/>
        <w:rPr>
          <w:rFonts w:ascii="宋体" w:hAnsi="宋体"/>
          <w:color w:val="auto"/>
          <w:szCs w:val="21"/>
        </w:rPr>
      </w:pPr>
      <w:r>
        <w:rPr>
          <w:rFonts w:hint="eastAsia" w:ascii="宋体" w:hAnsi="宋体"/>
          <w:color w:val="auto"/>
          <w:szCs w:val="21"/>
        </w:rPr>
        <w:t>成员1名称（盖单位章）：</w:t>
      </w:r>
    </w:p>
    <w:p w14:paraId="3014AA51">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14:paraId="7C720C67">
      <w:pPr>
        <w:adjustRightInd w:val="0"/>
        <w:snapToGrid w:val="0"/>
        <w:spacing w:line="360" w:lineRule="auto"/>
        <w:rPr>
          <w:rFonts w:ascii="宋体" w:hAnsi="宋体"/>
          <w:color w:val="auto"/>
          <w:szCs w:val="21"/>
        </w:rPr>
      </w:pPr>
      <w:r>
        <w:rPr>
          <w:rFonts w:hint="eastAsia" w:ascii="宋体" w:hAnsi="宋体"/>
          <w:color w:val="auto"/>
          <w:szCs w:val="21"/>
        </w:rPr>
        <w:t>成员2名称（盖单位章）：</w:t>
      </w:r>
    </w:p>
    <w:p w14:paraId="1F5ABC89">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14:paraId="42F6BB76">
      <w:pPr>
        <w:adjustRightInd w:val="0"/>
        <w:snapToGrid w:val="0"/>
        <w:spacing w:line="360" w:lineRule="auto"/>
        <w:rPr>
          <w:rFonts w:ascii="宋体" w:hAnsi="宋体"/>
          <w:color w:val="auto"/>
          <w:szCs w:val="21"/>
        </w:rPr>
      </w:pPr>
      <w:r>
        <w:rPr>
          <w:rFonts w:ascii="宋体" w:hAnsi="宋体"/>
          <w:color w:val="auto"/>
          <w:szCs w:val="21"/>
        </w:rPr>
        <w:t>…</w:t>
      </w:r>
    </w:p>
    <w:p w14:paraId="6BD7D704">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14:paraId="35F3AB6D">
      <w:pPr>
        <w:widowControl/>
        <w:adjustRightInd w:val="0"/>
        <w:snapToGrid w:val="0"/>
        <w:spacing w:line="360" w:lineRule="auto"/>
        <w:ind w:firstLine="420" w:firstLineChars="200"/>
        <w:jc w:val="left"/>
        <w:rPr>
          <w:rFonts w:ascii="宋体" w:hAnsi="宋体"/>
          <w:color w:val="auto"/>
          <w:szCs w:val="21"/>
        </w:rPr>
      </w:pPr>
      <w:r>
        <w:rPr>
          <w:rFonts w:hint="eastAsia" w:ascii="宋体" w:hAnsi="宋体"/>
          <w:bCs/>
          <w:color w:val="auto"/>
          <w:szCs w:val="21"/>
        </w:rPr>
        <w:t>注：1.</w:t>
      </w:r>
      <w:r>
        <w:rPr>
          <w:rFonts w:hint="eastAsia" w:ascii="宋体" w:hAnsi="宋体"/>
          <w:color w:val="auto"/>
          <w:szCs w:val="21"/>
        </w:rPr>
        <w:t>本协议书由委托代理人签字的，应附授权委托书。</w:t>
      </w:r>
    </w:p>
    <w:p w14:paraId="66D283AC">
      <w:pPr>
        <w:widowControl/>
        <w:adjustRightInd w:val="0"/>
        <w:snapToGrid w:val="0"/>
        <w:spacing w:line="360" w:lineRule="auto"/>
        <w:ind w:firstLine="420" w:firstLineChars="200"/>
        <w:jc w:val="left"/>
        <w:rPr>
          <w:color w:val="auto"/>
        </w:rPr>
      </w:pPr>
      <w:r>
        <w:rPr>
          <w:rFonts w:hint="eastAsia" w:ascii="宋体" w:hAnsi="宋体"/>
          <w:color w:val="auto"/>
          <w:szCs w:val="21"/>
        </w:rPr>
        <w:t>2.投标人在提交投标文件的截止时间前修改“开标一览表”中的投标报价，影响本协议书第五条的，应同时修改本协议书第五条。</w:t>
      </w:r>
      <w:bookmarkEnd w:id="86"/>
      <w:bookmarkEnd w:id="87"/>
    </w:p>
    <w:p w14:paraId="1F514915">
      <w:pPr>
        <w:pStyle w:val="2"/>
        <w:ind w:firstLine="480"/>
        <w:rPr>
          <w:color w:val="auto"/>
        </w:rPr>
      </w:pPr>
    </w:p>
    <w:p w14:paraId="7AB1DDC8">
      <w:pPr>
        <w:pStyle w:val="2"/>
        <w:ind w:firstLine="480"/>
        <w:rPr>
          <w:color w:val="auto"/>
        </w:rPr>
      </w:pPr>
    </w:p>
    <w:p w14:paraId="1052BE63">
      <w:pPr>
        <w:widowControl/>
        <w:adjustRightInd w:val="0"/>
        <w:snapToGrid w:val="0"/>
        <w:spacing w:line="360" w:lineRule="auto"/>
        <w:jc w:val="left"/>
        <w:rPr>
          <w:rFonts w:ascii="黑体" w:eastAsia="黑体"/>
          <w:color w:val="auto"/>
          <w:sz w:val="32"/>
          <w:szCs w:val="32"/>
        </w:rPr>
      </w:pPr>
      <w:r>
        <w:rPr>
          <w:rFonts w:ascii="宋体" w:hAnsi="宋体"/>
          <w:color w:val="auto"/>
          <w:szCs w:val="21"/>
        </w:rPr>
        <w:br w:type="page"/>
      </w:r>
    </w:p>
    <w:p w14:paraId="670D5B7C">
      <w:pPr>
        <w:adjustRightInd w:val="0"/>
        <w:snapToGrid w:val="0"/>
        <w:spacing w:line="360" w:lineRule="auto"/>
        <w:rPr>
          <w:rFonts w:ascii="宋体" w:hAnsi="宋体"/>
          <w:b/>
          <w:bCs/>
          <w:color w:val="auto"/>
          <w:sz w:val="84"/>
          <w:szCs w:val="84"/>
        </w:rPr>
      </w:pPr>
    </w:p>
    <w:p w14:paraId="55C9A93B">
      <w:pPr>
        <w:adjustRightInd w:val="0"/>
        <w:snapToGrid w:val="0"/>
        <w:spacing w:line="360" w:lineRule="auto"/>
        <w:jc w:val="center"/>
        <w:rPr>
          <w:rFonts w:ascii="宋体" w:hAnsi="宋体"/>
          <w:b/>
          <w:bCs/>
          <w:color w:val="auto"/>
          <w:sz w:val="72"/>
          <w:szCs w:val="72"/>
        </w:rPr>
      </w:pPr>
      <w:r>
        <w:rPr>
          <w:rFonts w:hint="eastAsia" w:ascii="宋体" w:hAnsi="宋体"/>
          <w:b/>
          <w:bCs/>
          <w:color w:val="auto"/>
          <w:sz w:val="72"/>
          <w:szCs w:val="72"/>
        </w:rPr>
        <w:t>服务类项目询价比选</w:t>
      </w:r>
    </w:p>
    <w:p w14:paraId="554EDDF6">
      <w:pPr>
        <w:adjustRightInd w:val="0"/>
        <w:snapToGrid w:val="0"/>
        <w:spacing w:line="360" w:lineRule="auto"/>
        <w:jc w:val="center"/>
        <w:rPr>
          <w:rFonts w:ascii="宋体" w:hAnsi="宋体"/>
          <w:b/>
          <w:bCs/>
          <w:color w:val="auto"/>
          <w:sz w:val="72"/>
          <w:szCs w:val="72"/>
        </w:rPr>
      </w:pPr>
      <w:r>
        <w:rPr>
          <w:rFonts w:hint="eastAsia" w:ascii="宋体" w:hAnsi="宋体"/>
          <w:b/>
          <w:bCs/>
          <w:color w:val="auto"/>
          <w:sz w:val="72"/>
          <w:szCs w:val="72"/>
        </w:rPr>
        <w:t>投 标 文 件</w:t>
      </w:r>
    </w:p>
    <w:p w14:paraId="2EA0EF61">
      <w:pPr>
        <w:adjustRightInd w:val="0"/>
        <w:snapToGrid w:val="0"/>
        <w:spacing w:line="360" w:lineRule="auto"/>
        <w:rPr>
          <w:rFonts w:ascii="宋体" w:hAnsi="宋体"/>
          <w:b/>
          <w:bCs/>
          <w:color w:val="auto"/>
          <w:sz w:val="84"/>
          <w:szCs w:val="84"/>
        </w:rPr>
      </w:pPr>
    </w:p>
    <w:p w14:paraId="36857355">
      <w:pPr>
        <w:pStyle w:val="13"/>
        <w:adjustRightInd w:val="0"/>
        <w:snapToGrid w:val="0"/>
        <w:jc w:val="center"/>
        <w:rPr>
          <w:rFonts w:ascii="黑体" w:hAnsi="黑体" w:eastAsia="黑体"/>
          <w:color w:val="auto"/>
          <w:sz w:val="44"/>
          <w:szCs w:val="44"/>
        </w:rPr>
      </w:pPr>
      <w:bookmarkStart w:id="92" w:name="_Toc6690"/>
      <w:bookmarkStart w:id="93" w:name="_Toc28403"/>
      <w:r>
        <w:rPr>
          <w:rFonts w:hint="eastAsia" w:ascii="黑体" w:hAnsi="黑体" w:eastAsia="黑体"/>
          <w:color w:val="auto"/>
          <w:sz w:val="44"/>
          <w:szCs w:val="44"/>
        </w:rPr>
        <w:t>第二部分 商务技术文件</w:t>
      </w:r>
      <w:bookmarkEnd w:id="92"/>
      <w:bookmarkEnd w:id="93"/>
    </w:p>
    <w:p w14:paraId="350AFAF7">
      <w:pPr>
        <w:adjustRightInd w:val="0"/>
        <w:snapToGrid w:val="0"/>
        <w:spacing w:line="360" w:lineRule="auto"/>
        <w:rPr>
          <w:rFonts w:ascii="宋体" w:hAnsi="宋体"/>
          <w:color w:val="auto"/>
          <w:sz w:val="32"/>
          <w:szCs w:val="32"/>
        </w:rPr>
      </w:pPr>
    </w:p>
    <w:p w14:paraId="71CB4DC6">
      <w:pPr>
        <w:pStyle w:val="19"/>
        <w:adjustRightInd w:val="0"/>
        <w:snapToGrid w:val="0"/>
        <w:spacing w:line="360" w:lineRule="auto"/>
        <w:ind w:firstLine="1988" w:firstLineChars="660"/>
        <w:rPr>
          <w:rFonts w:hAnsi="宋体"/>
          <w:b/>
          <w:bCs/>
          <w:color w:val="auto"/>
          <w:sz w:val="30"/>
          <w:szCs w:val="30"/>
        </w:rPr>
      </w:pPr>
    </w:p>
    <w:p w14:paraId="3FC9F08F">
      <w:pPr>
        <w:pStyle w:val="19"/>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14:paraId="4C10A5E6">
      <w:pPr>
        <w:pStyle w:val="19"/>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14:paraId="785573B2">
      <w:pPr>
        <w:adjustRightInd w:val="0"/>
        <w:snapToGrid w:val="0"/>
        <w:spacing w:line="360" w:lineRule="auto"/>
        <w:rPr>
          <w:rFonts w:ascii="宋体" w:hAnsi="宋体"/>
          <w:color w:val="auto"/>
          <w:sz w:val="30"/>
          <w:szCs w:val="30"/>
        </w:rPr>
      </w:pPr>
      <w:r>
        <w:rPr>
          <w:rFonts w:hint="eastAsia" w:ascii="宋体" w:hAnsi="宋体"/>
          <w:color w:val="auto"/>
          <w:sz w:val="30"/>
          <w:szCs w:val="30"/>
        </w:rPr>
        <w:t xml:space="preserve"> </w:t>
      </w:r>
    </w:p>
    <w:p w14:paraId="738C5EF1">
      <w:pPr>
        <w:adjustRightInd w:val="0"/>
        <w:snapToGrid w:val="0"/>
        <w:spacing w:line="360" w:lineRule="auto"/>
        <w:rPr>
          <w:rFonts w:ascii="宋体" w:hAnsi="宋体"/>
          <w:color w:val="auto"/>
          <w:sz w:val="30"/>
          <w:szCs w:val="30"/>
        </w:rPr>
      </w:pPr>
    </w:p>
    <w:p w14:paraId="39C18E11">
      <w:pPr>
        <w:adjustRightInd w:val="0"/>
        <w:snapToGrid w:val="0"/>
        <w:spacing w:line="360" w:lineRule="auto"/>
        <w:rPr>
          <w:rFonts w:ascii="宋体" w:hAnsi="宋体"/>
          <w:color w:val="auto"/>
          <w:sz w:val="30"/>
          <w:szCs w:val="30"/>
        </w:rPr>
      </w:pPr>
    </w:p>
    <w:p w14:paraId="62A4C2F4">
      <w:pPr>
        <w:adjustRightInd w:val="0"/>
        <w:snapToGrid w:val="0"/>
        <w:spacing w:line="360" w:lineRule="auto"/>
        <w:rPr>
          <w:rFonts w:ascii="黑体" w:hAnsi="黑体" w:eastAsia="黑体" w:cs="黑体"/>
          <w:color w:val="auto"/>
          <w:sz w:val="30"/>
          <w:szCs w:val="30"/>
        </w:rPr>
      </w:pPr>
    </w:p>
    <w:p w14:paraId="4C986DE7">
      <w:pPr>
        <w:adjustRightInd w:val="0"/>
        <w:snapToGrid w:val="0"/>
        <w:spacing w:line="360" w:lineRule="auto"/>
        <w:ind w:left="1273" w:leftChars="606" w:firstLine="640" w:firstLineChars="200"/>
        <w:rPr>
          <w:rFonts w:ascii="黑体" w:hAnsi="黑体" w:eastAsia="黑体" w:cs="黑体"/>
          <w:color w:val="auto"/>
          <w:sz w:val="32"/>
          <w:szCs w:val="32"/>
          <w:u w:val="single"/>
        </w:rPr>
      </w:pPr>
      <w:r>
        <w:rPr>
          <w:rFonts w:hint="eastAsia" w:ascii="黑体" w:hAnsi="黑体" w:eastAsia="黑体" w:cs="黑体"/>
          <w:color w:val="auto"/>
          <w:sz w:val="32"/>
          <w:szCs w:val="32"/>
        </w:rPr>
        <w:t>投标人</w:t>
      </w:r>
      <w:r>
        <w:rPr>
          <w:rFonts w:hint="eastAsia" w:ascii="黑体" w:hAnsi="黑体" w:eastAsia="黑体" w:cs="黑体"/>
          <w:color w:val="auto"/>
          <w:sz w:val="32"/>
          <w:szCs w:val="32"/>
          <w:u w:val="single"/>
        </w:rPr>
        <w:t xml:space="preserve">                         </w:t>
      </w:r>
    </w:p>
    <w:p w14:paraId="1CCC6294">
      <w:pPr>
        <w:adjustRightInd w:val="0"/>
        <w:snapToGrid w:val="0"/>
        <w:spacing w:line="360" w:lineRule="auto"/>
        <w:jc w:val="center"/>
        <w:rPr>
          <w:rFonts w:ascii="黑体" w:hAnsi="黑体" w:eastAsia="黑体" w:cs="黑体"/>
          <w:color w:val="auto"/>
          <w:sz w:val="32"/>
          <w:szCs w:val="32"/>
        </w:rPr>
      </w:pPr>
      <w:r>
        <w:rPr>
          <w:rFonts w:hint="eastAsia" w:ascii="黑体" w:hAnsi="黑体" w:eastAsia="黑体" w:cs="黑体"/>
          <w:color w:val="auto"/>
          <w:sz w:val="32"/>
          <w:szCs w:val="32"/>
        </w:rPr>
        <w:t>年  月  日</w:t>
      </w:r>
    </w:p>
    <w:p w14:paraId="5D09F200">
      <w:pPr>
        <w:widowControl/>
        <w:jc w:val="left"/>
        <w:rPr>
          <w:rFonts w:ascii="黑体" w:hAnsi="宋体" w:eastAsia="黑体"/>
          <w:b/>
          <w:bCs/>
          <w:color w:val="auto"/>
          <w:sz w:val="28"/>
          <w:szCs w:val="28"/>
        </w:rPr>
      </w:pPr>
      <w:r>
        <w:rPr>
          <w:rFonts w:ascii="宋体" w:hAnsi="宋体"/>
          <w:color w:val="auto"/>
          <w:u w:val="single"/>
        </w:rPr>
        <w:br w:type="page"/>
      </w:r>
    </w:p>
    <w:p w14:paraId="2D515A81">
      <w:pPr>
        <w:pStyle w:val="14"/>
        <w:adjustRightInd w:val="0"/>
        <w:snapToGrid w:val="0"/>
        <w:spacing w:before="0" w:after="0" w:line="360" w:lineRule="auto"/>
        <w:jc w:val="center"/>
        <w:rPr>
          <w:rFonts w:ascii="黑体" w:hAnsi="宋体" w:eastAsia="黑体"/>
          <w:color w:val="auto"/>
          <w:sz w:val="28"/>
          <w:szCs w:val="28"/>
        </w:rPr>
      </w:pPr>
      <w:bookmarkStart w:id="94" w:name="_Toc6290"/>
      <w:r>
        <w:rPr>
          <w:rFonts w:hint="eastAsia" w:ascii="黑体" w:hAnsi="宋体" w:eastAsia="黑体"/>
          <w:color w:val="auto"/>
          <w:sz w:val="28"/>
          <w:szCs w:val="28"/>
        </w:rPr>
        <w:t>四</w:t>
      </w:r>
      <w:r>
        <w:rPr>
          <w:rFonts w:ascii="黑体" w:hAnsi="宋体" w:eastAsia="黑体"/>
          <w:color w:val="auto"/>
          <w:sz w:val="28"/>
          <w:szCs w:val="28"/>
        </w:rPr>
        <w:t>、</w:t>
      </w:r>
      <w:r>
        <w:rPr>
          <w:rFonts w:hint="eastAsia" w:ascii="黑体" w:hAnsi="宋体" w:eastAsia="黑体"/>
          <w:color w:val="auto"/>
          <w:sz w:val="28"/>
          <w:szCs w:val="28"/>
        </w:rPr>
        <w:t>投标函</w:t>
      </w:r>
      <w:bookmarkEnd w:id="94"/>
    </w:p>
    <w:p w14:paraId="1585C419">
      <w:pPr>
        <w:adjustRightInd w:val="0"/>
        <w:snapToGrid w:val="0"/>
        <w:spacing w:line="48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（采购人）：</w:t>
      </w:r>
    </w:p>
    <w:p w14:paraId="5A426A6B">
      <w:pPr>
        <w:adjustRightInd w:val="0"/>
        <w:snapToGrid w:val="0"/>
        <w:spacing w:line="480" w:lineRule="exact"/>
        <w:ind w:firstLine="435"/>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 xml:space="preserve">（项目名称）的投标邀请，签字代表 </w:t>
      </w:r>
      <w:r>
        <w:rPr>
          <w:rFonts w:hint="eastAsia" w:ascii="宋体" w:hAnsi="宋体"/>
          <w:color w:val="auto"/>
          <w:szCs w:val="21"/>
          <w:u w:val="single"/>
        </w:rPr>
        <w:t xml:space="preserve">      </w:t>
      </w:r>
      <w:r>
        <w:rPr>
          <w:rFonts w:hint="eastAsia" w:ascii="宋体" w:hAnsi="宋体"/>
          <w:color w:val="auto"/>
          <w:szCs w:val="21"/>
        </w:rPr>
        <w:t>（姓名、职务）经正式授权并代表投标人</w:t>
      </w:r>
      <w:r>
        <w:rPr>
          <w:rFonts w:hint="eastAsia" w:ascii="宋体" w:hAnsi="宋体"/>
          <w:color w:val="auto"/>
          <w:szCs w:val="21"/>
          <w:u w:val="single"/>
        </w:rPr>
        <w:t xml:space="preserve">       </w:t>
      </w:r>
      <w:r>
        <w:rPr>
          <w:rFonts w:hint="eastAsia" w:ascii="宋体" w:hAnsi="宋体"/>
          <w:color w:val="auto"/>
          <w:szCs w:val="21"/>
        </w:rPr>
        <w:t xml:space="preserve"> （投标人名称）提交下述投标文件：投标文件正本一份，副本一份，参加采购项目第</w:t>
      </w:r>
      <w:r>
        <w:rPr>
          <w:rFonts w:hint="eastAsia" w:ascii="宋体" w:hAnsi="宋体"/>
          <w:color w:val="auto"/>
          <w:szCs w:val="21"/>
          <w:u w:val="single"/>
        </w:rPr>
        <w:t xml:space="preserve">   </w:t>
      </w:r>
      <w:r>
        <w:rPr>
          <w:rFonts w:hint="eastAsia" w:ascii="宋体" w:hAnsi="宋体"/>
          <w:color w:val="auto"/>
          <w:szCs w:val="21"/>
        </w:rPr>
        <w:t>包投标，并在此声明，所递交的投标文件内容完整、真实。</w:t>
      </w:r>
    </w:p>
    <w:p w14:paraId="0409E320">
      <w:pPr>
        <w:adjustRightInd w:val="0"/>
        <w:snapToGrid w:val="0"/>
        <w:spacing w:line="480" w:lineRule="exact"/>
        <w:ind w:firstLine="422" w:firstLineChars="200"/>
        <w:rPr>
          <w:rFonts w:ascii="宋体" w:hAnsi="宋体"/>
          <w:b/>
          <w:color w:val="auto"/>
          <w:szCs w:val="21"/>
        </w:rPr>
      </w:pPr>
      <w:r>
        <w:rPr>
          <w:rFonts w:hint="eastAsia" w:ascii="宋体" w:hAnsi="宋体"/>
          <w:b/>
          <w:color w:val="auto"/>
          <w:szCs w:val="21"/>
        </w:rPr>
        <w:t>第一部分 资格证明文件</w:t>
      </w:r>
    </w:p>
    <w:p w14:paraId="00394B8B">
      <w:pPr>
        <w:adjustRightInd w:val="0"/>
        <w:snapToGrid w:val="0"/>
        <w:spacing w:line="480" w:lineRule="exact"/>
        <w:ind w:firstLine="630" w:firstLineChars="300"/>
        <w:rPr>
          <w:rFonts w:ascii="宋体" w:hAnsi="宋体"/>
          <w:color w:val="auto"/>
          <w:szCs w:val="21"/>
        </w:rPr>
      </w:pPr>
      <w:r>
        <w:rPr>
          <w:rFonts w:hint="eastAsia" w:ascii="宋体" w:hAnsi="宋体"/>
          <w:color w:val="auto"/>
          <w:szCs w:val="21"/>
        </w:rPr>
        <w:t>一、开标一览表</w:t>
      </w:r>
    </w:p>
    <w:p w14:paraId="57C74272">
      <w:pPr>
        <w:adjustRightInd w:val="0"/>
        <w:snapToGrid w:val="0"/>
        <w:spacing w:line="480" w:lineRule="exact"/>
        <w:ind w:firstLine="630" w:firstLineChars="300"/>
        <w:rPr>
          <w:rFonts w:ascii="宋体" w:hAnsi="宋体" w:eastAsiaTheme="minorEastAsia"/>
          <w:color w:val="auto"/>
          <w:szCs w:val="21"/>
        </w:rPr>
      </w:pPr>
      <w:r>
        <w:rPr>
          <w:rFonts w:hint="eastAsia" w:ascii="宋体" w:hAnsi="宋体"/>
          <w:color w:val="auto"/>
          <w:szCs w:val="21"/>
        </w:rPr>
        <w:t>二、</w:t>
      </w:r>
      <w:r>
        <w:rPr>
          <w:rFonts w:hint="eastAsia" w:asciiTheme="minorEastAsia" w:hAnsiTheme="minorEastAsia" w:eastAsiaTheme="minorEastAsia"/>
          <w:color w:val="auto"/>
          <w:szCs w:val="21"/>
        </w:rPr>
        <w:t>法定代表人（单位负责人）身份证明或授权委托书，</w:t>
      </w:r>
      <w:r>
        <w:rPr>
          <w:rFonts w:hint="eastAsia" w:ascii="宋体" w:hAnsi="宋体"/>
          <w:color w:val="auto"/>
        </w:rPr>
        <w:t>授权委托人需提供近3个月的社保缴纳证明。</w:t>
      </w:r>
    </w:p>
    <w:p w14:paraId="7A67D10F">
      <w:pPr>
        <w:adjustRightInd w:val="0"/>
        <w:snapToGrid w:val="0"/>
        <w:spacing w:line="480" w:lineRule="exact"/>
        <w:ind w:firstLine="630" w:firstLineChars="300"/>
        <w:rPr>
          <w:rFonts w:ascii="宋体" w:hAnsi="宋体"/>
          <w:color w:val="auto"/>
          <w:szCs w:val="21"/>
        </w:rPr>
      </w:pPr>
      <w:r>
        <w:rPr>
          <w:rFonts w:hint="eastAsia" w:ascii="宋体" w:hAnsi="宋体"/>
          <w:color w:val="auto"/>
          <w:szCs w:val="21"/>
        </w:rPr>
        <w:t>三、投标人提供的资格证明文件</w:t>
      </w:r>
    </w:p>
    <w:p w14:paraId="2B9D2466">
      <w:pPr>
        <w:adjustRightInd w:val="0"/>
        <w:snapToGrid w:val="0"/>
        <w:spacing w:line="480" w:lineRule="exact"/>
        <w:ind w:firstLine="422" w:firstLineChars="200"/>
        <w:rPr>
          <w:rFonts w:ascii="宋体" w:hAnsi="宋体"/>
          <w:b/>
          <w:color w:val="auto"/>
          <w:szCs w:val="21"/>
        </w:rPr>
      </w:pPr>
      <w:r>
        <w:rPr>
          <w:rFonts w:hint="eastAsia" w:ascii="宋体" w:hAnsi="宋体"/>
          <w:b/>
          <w:color w:val="auto"/>
          <w:szCs w:val="21"/>
        </w:rPr>
        <w:t>第二部分 商务技术文件</w:t>
      </w:r>
    </w:p>
    <w:p w14:paraId="0A312919">
      <w:pPr>
        <w:adjustRightInd w:val="0"/>
        <w:snapToGrid w:val="0"/>
        <w:spacing w:line="480" w:lineRule="exact"/>
        <w:ind w:firstLine="630" w:firstLineChars="300"/>
        <w:rPr>
          <w:rFonts w:ascii="宋体" w:hAnsi="宋体"/>
          <w:color w:val="auto"/>
          <w:szCs w:val="21"/>
        </w:rPr>
      </w:pPr>
      <w:r>
        <w:rPr>
          <w:rFonts w:hint="eastAsia" w:ascii="宋体" w:hAnsi="宋体"/>
          <w:color w:val="auto"/>
          <w:szCs w:val="21"/>
        </w:rPr>
        <w:t>四、投标函</w:t>
      </w:r>
    </w:p>
    <w:p w14:paraId="05444119">
      <w:pPr>
        <w:adjustRightInd w:val="0"/>
        <w:snapToGrid w:val="0"/>
        <w:spacing w:line="480" w:lineRule="exact"/>
        <w:ind w:firstLine="630" w:firstLineChars="300"/>
        <w:rPr>
          <w:rFonts w:ascii="宋体" w:hAnsi="宋体"/>
          <w:color w:val="auto"/>
          <w:szCs w:val="21"/>
        </w:rPr>
      </w:pPr>
      <w:r>
        <w:rPr>
          <w:rFonts w:hint="eastAsia" w:ascii="宋体" w:hAnsi="宋体"/>
          <w:color w:val="auto"/>
          <w:szCs w:val="21"/>
        </w:rPr>
        <w:t>五、分项报价</w:t>
      </w:r>
    </w:p>
    <w:p w14:paraId="6CEDCC29">
      <w:pPr>
        <w:adjustRightInd w:val="0"/>
        <w:snapToGrid w:val="0"/>
        <w:spacing w:line="480" w:lineRule="exact"/>
        <w:ind w:firstLine="630" w:firstLineChars="300"/>
        <w:rPr>
          <w:rFonts w:ascii="宋体" w:hAnsi="宋体"/>
          <w:color w:val="auto"/>
          <w:szCs w:val="21"/>
        </w:rPr>
      </w:pPr>
      <w:r>
        <w:rPr>
          <w:rFonts w:hint="eastAsia" w:ascii="宋体" w:hAnsi="宋体"/>
          <w:color w:val="auto"/>
          <w:szCs w:val="21"/>
        </w:rPr>
        <w:t>六、采购需求响应</w:t>
      </w:r>
    </w:p>
    <w:p w14:paraId="2CE92CA7">
      <w:pPr>
        <w:adjustRightInd w:val="0"/>
        <w:snapToGrid w:val="0"/>
        <w:spacing w:line="480" w:lineRule="exact"/>
        <w:ind w:firstLine="630" w:firstLineChars="300"/>
        <w:rPr>
          <w:rFonts w:ascii="宋体" w:hAnsi="宋体"/>
          <w:color w:val="auto"/>
          <w:szCs w:val="21"/>
        </w:rPr>
      </w:pPr>
      <w:r>
        <w:rPr>
          <w:rFonts w:hint="eastAsia" w:ascii="宋体" w:hAnsi="宋体"/>
          <w:color w:val="auto"/>
          <w:szCs w:val="21"/>
        </w:rPr>
        <w:t>七、采购需求偏离表</w:t>
      </w:r>
    </w:p>
    <w:p w14:paraId="0D2D08CA">
      <w:pPr>
        <w:adjustRightInd w:val="0"/>
        <w:snapToGrid w:val="0"/>
        <w:spacing w:line="480" w:lineRule="exact"/>
        <w:ind w:firstLine="630" w:firstLineChars="300"/>
        <w:rPr>
          <w:rFonts w:ascii="宋体" w:hAnsi="宋体"/>
          <w:color w:val="auto"/>
          <w:szCs w:val="21"/>
        </w:rPr>
      </w:pPr>
      <w:r>
        <w:rPr>
          <w:rFonts w:hint="eastAsia" w:ascii="宋体" w:hAnsi="宋体"/>
          <w:color w:val="auto"/>
          <w:szCs w:val="21"/>
        </w:rPr>
        <w:t>八、招标文件规定的证明文件</w:t>
      </w:r>
    </w:p>
    <w:p w14:paraId="09A0B4B1">
      <w:pPr>
        <w:adjustRightInd w:val="0"/>
        <w:snapToGrid w:val="0"/>
        <w:spacing w:line="480" w:lineRule="exact"/>
        <w:ind w:firstLine="630" w:firstLineChars="300"/>
        <w:rPr>
          <w:rFonts w:ascii="宋体" w:hAnsi="宋体"/>
          <w:color w:val="auto"/>
          <w:szCs w:val="21"/>
        </w:rPr>
      </w:pPr>
      <w:r>
        <w:rPr>
          <w:rFonts w:hint="eastAsia" w:ascii="宋体" w:hAnsi="宋体"/>
          <w:color w:val="auto"/>
          <w:szCs w:val="21"/>
        </w:rPr>
        <w:t>九、投标人认为需提供的其他资料</w:t>
      </w:r>
    </w:p>
    <w:p w14:paraId="4CC4A6AE">
      <w:pPr>
        <w:adjustRightInd w:val="0"/>
        <w:snapToGrid w:val="0"/>
        <w:spacing w:line="480" w:lineRule="exact"/>
        <w:ind w:firstLine="420" w:firstLineChars="200"/>
        <w:rPr>
          <w:rFonts w:ascii="宋体" w:hAnsi="宋体"/>
          <w:color w:val="auto"/>
          <w:szCs w:val="21"/>
        </w:rPr>
      </w:pPr>
      <w:r>
        <w:rPr>
          <w:rFonts w:hint="eastAsia" w:ascii="宋体" w:hAnsi="宋体"/>
          <w:color w:val="auto"/>
          <w:szCs w:val="21"/>
        </w:rPr>
        <w:t>在此，签字代表宣布同意如下：</w:t>
      </w:r>
    </w:p>
    <w:p w14:paraId="4D39FF63">
      <w:pPr>
        <w:adjustRightInd w:val="0"/>
        <w:snapToGrid w:val="0"/>
        <w:spacing w:line="480" w:lineRule="exact"/>
        <w:ind w:firstLine="420" w:firstLineChars="200"/>
        <w:rPr>
          <w:rFonts w:ascii="宋体" w:hAnsi="宋体"/>
          <w:color w:val="auto"/>
          <w:szCs w:val="21"/>
        </w:rPr>
      </w:pPr>
      <w:r>
        <w:rPr>
          <w:rFonts w:hint="eastAsia" w:ascii="宋体" w:hAnsi="宋体"/>
          <w:color w:val="auto"/>
          <w:szCs w:val="21"/>
        </w:rPr>
        <w:t>1、投标人严格按照招标文件的规定报价，见《开标一览表》。</w:t>
      </w:r>
    </w:p>
    <w:p w14:paraId="434B7386">
      <w:pPr>
        <w:adjustRightInd w:val="0"/>
        <w:snapToGrid w:val="0"/>
        <w:spacing w:line="480" w:lineRule="exact"/>
        <w:ind w:firstLine="420" w:firstLineChars="200"/>
        <w:rPr>
          <w:rFonts w:ascii="宋体" w:hAnsi="宋体"/>
          <w:color w:val="auto"/>
          <w:szCs w:val="21"/>
        </w:rPr>
      </w:pPr>
      <w:r>
        <w:rPr>
          <w:rFonts w:hint="eastAsia" w:ascii="宋体" w:hAnsi="宋体"/>
          <w:color w:val="auto"/>
          <w:szCs w:val="21"/>
        </w:rPr>
        <w:t>2、投标人将按招标文件的规定履行合同责任和义务。</w:t>
      </w:r>
    </w:p>
    <w:p w14:paraId="3B128A79">
      <w:pPr>
        <w:adjustRightInd w:val="0"/>
        <w:snapToGrid w:val="0"/>
        <w:spacing w:line="480" w:lineRule="exact"/>
        <w:ind w:firstLine="420" w:firstLineChars="200"/>
        <w:rPr>
          <w:rFonts w:ascii="宋体" w:hAnsi="宋体"/>
          <w:color w:val="auto"/>
          <w:szCs w:val="21"/>
        </w:rPr>
      </w:pPr>
      <w:r>
        <w:rPr>
          <w:rFonts w:hint="eastAsia" w:ascii="宋体" w:hAnsi="宋体"/>
          <w:color w:val="auto"/>
          <w:szCs w:val="21"/>
        </w:rPr>
        <w:t>3、投标人已详细审查招标文件。我们完全理解并同意放弃对这方面有不明及误解的权力。</w:t>
      </w:r>
    </w:p>
    <w:p w14:paraId="137F787D">
      <w:pPr>
        <w:adjustRightInd w:val="0"/>
        <w:snapToGrid w:val="0"/>
        <w:spacing w:line="480" w:lineRule="exact"/>
        <w:ind w:firstLine="420" w:firstLineChars="200"/>
        <w:rPr>
          <w:rFonts w:ascii="宋体" w:hAnsi="宋体"/>
          <w:color w:val="auto"/>
        </w:rPr>
      </w:pPr>
      <w:r>
        <w:rPr>
          <w:rFonts w:hint="eastAsia" w:ascii="宋体" w:hAnsi="宋体"/>
          <w:color w:val="auto"/>
          <w:szCs w:val="21"/>
        </w:rPr>
        <w:t>4、本投标有效期为自招标文件规定的提交投标文件截止之日起</w:t>
      </w:r>
      <w:r>
        <w:rPr>
          <w:rFonts w:hint="eastAsia" w:ascii="宋体" w:hAnsi="宋体"/>
          <w:color w:val="auto"/>
          <w:szCs w:val="21"/>
          <w:u w:val="single"/>
        </w:rPr>
        <w:t>90</w:t>
      </w:r>
      <w:r>
        <w:rPr>
          <w:rFonts w:hint="eastAsia" w:ascii="宋体" w:hAnsi="宋体"/>
          <w:color w:val="auto"/>
          <w:szCs w:val="21"/>
        </w:rPr>
        <w:t>个日历日。在投标有效期内，</w:t>
      </w:r>
      <w:r>
        <w:rPr>
          <w:rFonts w:hint="eastAsia" w:ascii="宋体" w:hAnsi="宋体"/>
          <w:color w:val="auto"/>
        </w:rPr>
        <w:t>投标人同意遵守本</w:t>
      </w:r>
      <w:r>
        <w:rPr>
          <w:rFonts w:hint="eastAsia" w:ascii="宋体" w:hAnsi="宋体"/>
          <w:color w:val="auto"/>
          <w:szCs w:val="21"/>
        </w:rPr>
        <w:t>投标</w:t>
      </w:r>
      <w:r>
        <w:rPr>
          <w:rFonts w:hint="eastAsia" w:ascii="宋体" w:hAnsi="宋体"/>
          <w:color w:val="auto"/>
        </w:rPr>
        <w:t>文件中的承诺且在此期限期满之前</w:t>
      </w:r>
      <w:r>
        <w:rPr>
          <w:rFonts w:hint="eastAsia" w:ascii="宋体" w:hAnsi="宋体"/>
          <w:color w:val="auto"/>
          <w:szCs w:val="21"/>
        </w:rPr>
        <w:t>投标</w:t>
      </w:r>
      <w:r>
        <w:rPr>
          <w:rFonts w:hint="eastAsia" w:ascii="宋体" w:hAnsi="宋体"/>
          <w:color w:val="auto"/>
        </w:rPr>
        <w:t>文件</w:t>
      </w:r>
      <w:r>
        <w:rPr>
          <w:rFonts w:hint="eastAsia" w:ascii="宋体" w:hAnsi="宋体"/>
          <w:color w:val="auto"/>
          <w:szCs w:val="21"/>
        </w:rPr>
        <w:t>对我方具有法律约束力</w:t>
      </w:r>
      <w:r>
        <w:rPr>
          <w:rFonts w:hint="eastAsia" w:ascii="宋体" w:hAnsi="宋体"/>
          <w:color w:val="auto"/>
        </w:rPr>
        <w:t>。</w:t>
      </w:r>
    </w:p>
    <w:p w14:paraId="40D17049">
      <w:pPr>
        <w:adjustRightInd w:val="0"/>
        <w:snapToGrid w:val="0"/>
        <w:spacing w:line="480" w:lineRule="exact"/>
        <w:ind w:firstLine="420" w:firstLineChars="200"/>
        <w:rPr>
          <w:rFonts w:ascii="宋体" w:hAnsi="宋体"/>
          <w:color w:val="auto"/>
          <w:szCs w:val="21"/>
        </w:rPr>
      </w:pPr>
      <w:r>
        <w:rPr>
          <w:rFonts w:hint="eastAsia" w:ascii="宋体" w:hAnsi="宋体"/>
          <w:color w:val="auto"/>
        </w:rPr>
        <w:t>5、</w:t>
      </w:r>
      <w:r>
        <w:rPr>
          <w:rFonts w:hint="eastAsia" w:ascii="宋体" w:hAnsi="宋体"/>
          <w:color w:val="auto"/>
          <w:szCs w:val="21"/>
        </w:rPr>
        <w:t>同意提供贵方可能要求的与其投标有关的一切数据或资料。</w:t>
      </w:r>
    </w:p>
    <w:p w14:paraId="5920D51D">
      <w:pPr>
        <w:pStyle w:val="19"/>
        <w:adjustRightInd w:val="0"/>
        <w:snapToGrid w:val="0"/>
        <w:spacing w:line="480" w:lineRule="exact"/>
        <w:rPr>
          <w:rFonts w:hAnsi="宋体"/>
          <w:color w:val="auto"/>
        </w:rPr>
      </w:pPr>
    </w:p>
    <w:p w14:paraId="24BA71C2">
      <w:pPr>
        <w:pStyle w:val="19"/>
        <w:adjustRightInd w:val="0"/>
        <w:snapToGrid w:val="0"/>
        <w:spacing w:line="480" w:lineRule="exact"/>
        <w:rPr>
          <w:rFonts w:hAnsi="宋体"/>
          <w:color w:val="auto"/>
        </w:rPr>
      </w:pPr>
      <w:r>
        <w:rPr>
          <w:rFonts w:hint="eastAsia" w:hAnsi="宋体"/>
          <w:color w:val="auto"/>
        </w:rPr>
        <w:t xml:space="preserve">投标人名称（盖单位章）：                       </w:t>
      </w:r>
    </w:p>
    <w:p w14:paraId="1EE983ED">
      <w:pPr>
        <w:adjustRightInd w:val="0"/>
        <w:snapToGrid w:val="0"/>
        <w:spacing w:line="480" w:lineRule="exact"/>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435F7A8F">
      <w:pPr>
        <w:adjustRightInd w:val="0"/>
        <w:snapToGrid w:val="0"/>
        <w:spacing w:line="480" w:lineRule="exact"/>
        <w:rPr>
          <w:rFonts w:ascii="黑体" w:hAnsi="宋体" w:eastAsia="黑体"/>
          <w:b/>
          <w:bCs/>
          <w:color w:val="auto"/>
          <w:sz w:val="28"/>
          <w:szCs w:val="28"/>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ascii="黑体" w:hAnsi="宋体" w:eastAsia="黑体"/>
          <w:b/>
          <w:bCs/>
          <w:color w:val="auto"/>
          <w:sz w:val="28"/>
          <w:szCs w:val="28"/>
        </w:rPr>
        <w:br w:type="page"/>
      </w:r>
    </w:p>
    <w:p w14:paraId="3F789A72">
      <w:pPr>
        <w:pStyle w:val="14"/>
        <w:adjustRightInd w:val="0"/>
        <w:snapToGrid w:val="0"/>
        <w:spacing w:before="0" w:after="0" w:line="360" w:lineRule="auto"/>
        <w:jc w:val="center"/>
        <w:rPr>
          <w:rFonts w:ascii="黑体" w:hAnsi="宋体" w:eastAsia="黑体"/>
          <w:color w:val="auto"/>
          <w:sz w:val="28"/>
          <w:szCs w:val="28"/>
        </w:rPr>
      </w:pPr>
      <w:bookmarkStart w:id="95" w:name="_Toc25418"/>
      <w:r>
        <w:rPr>
          <w:rFonts w:hint="eastAsia" w:ascii="黑体" w:hAnsi="宋体" w:eastAsia="黑体"/>
          <w:color w:val="auto"/>
          <w:sz w:val="28"/>
          <w:szCs w:val="28"/>
        </w:rPr>
        <w:t>五、分项报价</w:t>
      </w:r>
      <w:bookmarkEnd w:id="95"/>
    </w:p>
    <w:p w14:paraId="715BB5DF">
      <w:pPr>
        <w:pStyle w:val="15"/>
        <w:jc w:val="left"/>
        <w:rPr>
          <w:rFonts w:ascii="黑体" w:hAnsi="宋体" w:cs="微软雅黑"/>
          <w:b w:val="0"/>
          <w:color w:val="auto"/>
          <w:kern w:val="0"/>
          <w:sz w:val="21"/>
          <w:szCs w:val="21"/>
        </w:rPr>
      </w:pPr>
      <w:bookmarkStart w:id="96" w:name="_Toc4027"/>
      <w:r>
        <w:rPr>
          <w:rFonts w:hint="eastAsia" w:ascii="黑体" w:hAnsi="华文中宋" w:cs="宋体"/>
          <w:b w:val="0"/>
          <w:bCs w:val="0"/>
          <w:color w:val="auto"/>
          <w:spacing w:val="6"/>
          <w:kern w:val="0"/>
          <w:sz w:val="21"/>
          <w:szCs w:val="21"/>
        </w:rPr>
        <w:t xml:space="preserve">附件5-1 </w:t>
      </w:r>
      <w:r>
        <w:rPr>
          <w:rFonts w:hint="eastAsia" w:ascii="黑体" w:hAnsi="宋体" w:cs="微软雅黑"/>
          <w:b w:val="0"/>
          <w:color w:val="auto"/>
          <w:spacing w:val="-2"/>
          <w:kern w:val="0"/>
          <w:sz w:val="21"/>
          <w:szCs w:val="21"/>
        </w:rPr>
        <w:t>分</w:t>
      </w:r>
      <w:r>
        <w:rPr>
          <w:rFonts w:hint="eastAsia" w:ascii="黑体" w:hAnsi="宋体" w:cs="微软雅黑"/>
          <w:b w:val="0"/>
          <w:color w:val="auto"/>
          <w:kern w:val="0"/>
          <w:sz w:val="21"/>
          <w:szCs w:val="21"/>
        </w:rPr>
        <w:t>项</w:t>
      </w:r>
      <w:r>
        <w:rPr>
          <w:rFonts w:hint="eastAsia" w:ascii="黑体" w:hAnsi="宋体" w:cs="微软雅黑"/>
          <w:b w:val="0"/>
          <w:color w:val="auto"/>
          <w:spacing w:val="-2"/>
          <w:kern w:val="0"/>
          <w:sz w:val="21"/>
          <w:szCs w:val="21"/>
        </w:rPr>
        <w:t>报</w:t>
      </w:r>
      <w:r>
        <w:rPr>
          <w:rFonts w:hint="eastAsia" w:ascii="黑体" w:hAnsi="宋体" w:cs="微软雅黑"/>
          <w:b w:val="0"/>
          <w:color w:val="auto"/>
          <w:kern w:val="0"/>
          <w:sz w:val="21"/>
          <w:szCs w:val="21"/>
        </w:rPr>
        <w:t>价说明</w:t>
      </w:r>
      <w:bookmarkEnd w:id="96"/>
      <w:r>
        <w:rPr>
          <w:rFonts w:hint="eastAsia" w:ascii="黑体" w:hAnsi="宋体" w:cs="微软雅黑"/>
          <w:b w:val="0"/>
          <w:color w:val="auto"/>
          <w:kern w:val="0"/>
          <w:sz w:val="21"/>
          <w:szCs w:val="21"/>
        </w:rPr>
        <w:t xml:space="preserve">  </w:t>
      </w:r>
    </w:p>
    <w:p w14:paraId="37FD2345">
      <w:pPr>
        <w:autoSpaceDE w:val="0"/>
        <w:autoSpaceDN w:val="0"/>
        <w:adjustRightInd w:val="0"/>
        <w:snapToGrid w:val="0"/>
        <w:spacing w:line="360" w:lineRule="auto"/>
        <w:jc w:val="center"/>
        <w:rPr>
          <w:rFonts w:ascii="黑体" w:hAnsi="宋体" w:eastAsia="黑体" w:cs="微软雅黑"/>
          <w:b/>
          <w:color w:val="auto"/>
          <w:kern w:val="0"/>
          <w:sz w:val="28"/>
          <w:szCs w:val="28"/>
        </w:rPr>
      </w:pPr>
      <w:r>
        <w:rPr>
          <w:rFonts w:hint="eastAsia" w:ascii="黑体" w:hAnsi="宋体" w:eastAsia="黑体" w:cs="微软雅黑"/>
          <w:b/>
          <w:color w:val="auto"/>
          <w:spacing w:val="-2"/>
          <w:kern w:val="0"/>
          <w:sz w:val="28"/>
          <w:szCs w:val="28"/>
        </w:rPr>
        <w:t>分</w:t>
      </w:r>
      <w:r>
        <w:rPr>
          <w:rFonts w:hint="eastAsia" w:ascii="黑体" w:hAnsi="宋体" w:eastAsia="黑体" w:cs="微软雅黑"/>
          <w:b/>
          <w:color w:val="auto"/>
          <w:kern w:val="0"/>
          <w:sz w:val="28"/>
          <w:szCs w:val="28"/>
        </w:rPr>
        <w:t>项</w:t>
      </w:r>
      <w:r>
        <w:rPr>
          <w:rFonts w:hint="eastAsia" w:ascii="黑体" w:hAnsi="宋体" w:eastAsia="黑体" w:cs="微软雅黑"/>
          <w:b/>
          <w:color w:val="auto"/>
          <w:spacing w:val="-2"/>
          <w:kern w:val="0"/>
          <w:sz w:val="28"/>
          <w:szCs w:val="28"/>
        </w:rPr>
        <w:t>报</w:t>
      </w:r>
      <w:r>
        <w:rPr>
          <w:rFonts w:hint="eastAsia" w:ascii="黑体" w:hAnsi="宋体" w:eastAsia="黑体" w:cs="微软雅黑"/>
          <w:b/>
          <w:color w:val="auto"/>
          <w:kern w:val="0"/>
          <w:sz w:val="28"/>
          <w:szCs w:val="28"/>
        </w:rPr>
        <w:t>价说明</w:t>
      </w:r>
    </w:p>
    <w:p w14:paraId="49091391">
      <w:pPr>
        <w:autoSpaceDE w:val="0"/>
        <w:autoSpaceDN w:val="0"/>
        <w:adjustRightInd w:val="0"/>
        <w:snapToGrid w:val="0"/>
        <w:spacing w:line="360" w:lineRule="auto"/>
        <w:jc w:val="left"/>
        <w:rPr>
          <w:rFonts w:ascii="宋体" w:hAnsi="宋体" w:cs="微软雅黑"/>
          <w:color w:val="auto"/>
          <w:kern w:val="0"/>
          <w:szCs w:val="21"/>
        </w:rPr>
      </w:pPr>
      <w:r>
        <w:rPr>
          <w:rFonts w:hint="eastAsia" w:ascii="宋体" w:hAnsi="宋体" w:cs="微软雅黑"/>
          <w:color w:val="auto"/>
          <w:kern w:val="0"/>
          <w:szCs w:val="21"/>
        </w:rPr>
        <w:t>备注：投标人应按招标文件第二章相关要求，对本节</w:t>
      </w:r>
      <w:r>
        <w:rPr>
          <w:rFonts w:hint="eastAsia" w:ascii="宋体" w:hAnsi="宋体"/>
          <w:bCs/>
          <w:color w:val="auto"/>
          <w:szCs w:val="21"/>
        </w:rPr>
        <w:t>“</w:t>
      </w:r>
      <w:r>
        <w:rPr>
          <w:rFonts w:hint="eastAsia" w:ascii="宋体" w:hAnsi="宋体" w:cs="微软雅黑"/>
          <w:color w:val="auto"/>
          <w:kern w:val="0"/>
          <w:szCs w:val="21"/>
        </w:rPr>
        <w:t>分项报价明细表</w:t>
      </w:r>
      <w:r>
        <w:rPr>
          <w:rFonts w:hint="eastAsia" w:ascii="宋体" w:hAnsi="宋体"/>
          <w:bCs/>
          <w:color w:val="auto"/>
          <w:szCs w:val="21"/>
        </w:rPr>
        <w:t>”进行</w:t>
      </w:r>
      <w:r>
        <w:rPr>
          <w:rFonts w:hint="eastAsia" w:ascii="宋体" w:hAnsi="宋体" w:cs="微软雅黑"/>
          <w:color w:val="auto"/>
          <w:kern w:val="0"/>
          <w:szCs w:val="21"/>
        </w:rPr>
        <w:t>编制，并说明。</w:t>
      </w:r>
    </w:p>
    <w:p w14:paraId="00F3D81E">
      <w:pPr>
        <w:rPr>
          <w:color w:val="auto"/>
        </w:rPr>
      </w:pPr>
    </w:p>
    <w:p w14:paraId="2216C067">
      <w:pPr>
        <w:rPr>
          <w:rFonts w:ascii="黑体" w:hAnsi="华文中宋" w:cs="宋体"/>
          <w:color w:val="auto"/>
          <w:spacing w:val="6"/>
          <w:kern w:val="0"/>
          <w:szCs w:val="21"/>
        </w:rPr>
      </w:pPr>
      <w:bookmarkStart w:id="97" w:name="_Toc2189"/>
      <w:r>
        <w:rPr>
          <w:rFonts w:hint="eastAsia" w:ascii="黑体" w:hAnsi="华文中宋" w:cs="宋体"/>
          <w:color w:val="auto"/>
          <w:spacing w:val="6"/>
          <w:kern w:val="0"/>
          <w:szCs w:val="21"/>
        </w:rPr>
        <w:br w:type="page"/>
      </w:r>
    </w:p>
    <w:p w14:paraId="6D65EBE2">
      <w:pPr>
        <w:pStyle w:val="15"/>
        <w:jc w:val="left"/>
        <w:rPr>
          <w:rFonts w:ascii="黑体" w:hAnsi="宋体" w:cs="微软雅黑"/>
          <w:b w:val="0"/>
          <w:color w:val="auto"/>
          <w:kern w:val="0"/>
          <w:sz w:val="21"/>
          <w:szCs w:val="21"/>
        </w:rPr>
      </w:pPr>
      <w:r>
        <w:rPr>
          <w:rFonts w:hint="eastAsia" w:ascii="黑体" w:hAnsi="华文中宋" w:cs="宋体"/>
          <w:b w:val="0"/>
          <w:bCs w:val="0"/>
          <w:color w:val="auto"/>
          <w:spacing w:val="6"/>
          <w:kern w:val="0"/>
          <w:sz w:val="21"/>
          <w:szCs w:val="21"/>
        </w:rPr>
        <w:t xml:space="preserve">附件5-2 </w:t>
      </w:r>
      <w:r>
        <w:rPr>
          <w:rFonts w:hint="eastAsia" w:ascii="黑体" w:hAnsi="宋体" w:cs="微软雅黑"/>
          <w:b w:val="0"/>
          <w:color w:val="auto"/>
          <w:spacing w:val="-2"/>
          <w:kern w:val="0"/>
          <w:position w:val="-3"/>
          <w:sz w:val="21"/>
          <w:szCs w:val="21"/>
        </w:rPr>
        <w:t>分</w:t>
      </w:r>
      <w:r>
        <w:rPr>
          <w:rFonts w:hint="eastAsia" w:ascii="黑体" w:hAnsi="宋体" w:cs="微软雅黑"/>
          <w:b w:val="0"/>
          <w:color w:val="auto"/>
          <w:kern w:val="0"/>
          <w:position w:val="-3"/>
          <w:sz w:val="21"/>
          <w:szCs w:val="21"/>
        </w:rPr>
        <w:t>项</w:t>
      </w:r>
      <w:r>
        <w:rPr>
          <w:rFonts w:hint="eastAsia" w:ascii="黑体" w:hAnsi="宋体" w:cs="微软雅黑"/>
          <w:b w:val="0"/>
          <w:color w:val="auto"/>
          <w:spacing w:val="-2"/>
          <w:kern w:val="0"/>
          <w:position w:val="-3"/>
          <w:sz w:val="21"/>
          <w:szCs w:val="21"/>
        </w:rPr>
        <w:t>报</w:t>
      </w:r>
      <w:r>
        <w:rPr>
          <w:rFonts w:hint="eastAsia" w:ascii="黑体" w:hAnsi="宋体" w:cs="微软雅黑"/>
          <w:b w:val="0"/>
          <w:color w:val="auto"/>
          <w:kern w:val="0"/>
          <w:position w:val="-3"/>
          <w:sz w:val="21"/>
          <w:szCs w:val="21"/>
        </w:rPr>
        <w:t>价明细表</w:t>
      </w:r>
      <w:bookmarkEnd w:id="97"/>
    </w:p>
    <w:p w14:paraId="700F312A">
      <w:pPr>
        <w:adjustRightInd w:val="0"/>
        <w:snapToGrid w:val="0"/>
        <w:spacing w:line="360" w:lineRule="auto"/>
        <w:jc w:val="center"/>
        <w:rPr>
          <w:rFonts w:ascii="黑体" w:hAnsi="宋体" w:eastAsia="黑体" w:cs="微软雅黑"/>
          <w:b/>
          <w:color w:val="auto"/>
          <w:kern w:val="0"/>
          <w:position w:val="-3"/>
          <w:sz w:val="28"/>
          <w:szCs w:val="28"/>
        </w:rPr>
      </w:pPr>
      <w:r>
        <w:rPr>
          <w:rFonts w:hint="eastAsia" w:ascii="黑体" w:hAnsi="宋体" w:eastAsia="黑体" w:cs="微软雅黑"/>
          <w:b/>
          <w:color w:val="auto"/>
          <w:spacing w:val="-2"/>
          <w:kern w:val="0"/>
          <w:position w:val="-3"/>
          <w:sz w:val="28"/>
          <w:szCs w:val="28"/>
        </w:rPr>
        <w:t>分</w:t>
      </w:r>
      <w:r>
        <w:rPr>
          <w:rFonts w:hint="eastAsia" w:ascii="黑体" w:hAnsi="宋体" w:eastAsia="黑体" w:cs="微软雅黑"/>
          <w:b/>
          <w:color w:val="auto"/>
          <w:kern w:val="0"/>
          <w:position w:val="-3"/>
          <w:sz w:val="28"/>
          <w:szCs w:val="28"/>
        </w:rPr>
        <w:t>项</w:t>
      </w:r>
      <w:r>
        <w:rPr>
          <w:rFonts w:hint="eastAsia" w:ascii="黑体" w:hAnsi="宋体" w:eastAsia="黑体" w:cs="微软雅黑"/>
          <w:b/>
          <w:color w:val="auto"/>
          <w:spacing w:val="-2"/>
          <w:kern w:val="0"/>
          <w:position w:val="-3"/>
          <w:sz w:val="28"/>
          <w:szCs w:val="28"/>
        </w:rPr>
        <w:t>报</w:t>
      </w:r>
      <w:r>
        <w:rPr>
          <w:rFonts w:hint="eastAsia" w:ascii="黑体" w:hAnsi="宋体" w:eastAsia="黑体" w:cs="微软雅黑"/>
          <w:b/>
          <w:color w:val="auto"/>
          <w:kern w:val="0"/>
          <w:position w:val="-3"/>
          <w:sz w:val="28"/>
          <w:szCs w:val="28"/>
        </w:rPr>
        <w:t>价明细表（按招标人发布的工程量清单表提供，如有）</w:t>
      </w:r>
    </w:p>
    <w:p w14:paraId="49A06BC4">
      <w:pPr>
        <w:adjustRightInd w:val="0"/>
        <w:snapToGrid w:val="0"/>
        <w:spacing w:line="360" w:lineRule="auto"/>
        <w:rPr>
          <w:rFonts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w:t>
      </w:r>
    </w:p>
    <w:p w14:paraId="5410C6CC">
      <w:pPr>
        <w:adjustRightInd w:val="0"/>
        <w:snapToGrid w:val="0"/>
        <w:spacing w:line="360" w:lineRule="auto"/>
        <w:rPr>
          <w:rFonts w:ascii="宋体" w:hAnsi="宋体"/>
          <w:color w:val="auto"/>
          <w:szCs w:val="21"/>
        </w:rPr>
      </w:pPr>
      <w:r>
        <w:rPr>
          <w:rFonts w:hint="eastAsia" w:ascii="宋体" w:hAnsi="宋体"/>
          <w:color w:val="auto"/>
          <w:szCs w:val="21"/>
        </w:rPr>
        <w:t>包号：</w:t>
      </w:r>
      <w:r>
        <w:rPr>
          <w:rFonts w:hint="eastAsia" w:ascii="宋体" w:hAnsi="宋体"/>
          <w:color w:val="auto"/>
          <w:szCs w:val="21"/>
          <w:u w:val="single"/>
        </w:rPr>
        <w:t xml:space="preserve">                        </w:t>
      </w:r>
      <w:r>
        <w:rPr>
          <w:rFonts w:hint="eastAsia" w:ascii="宋体" w:hAnsi="宋体"/>
          <w:color w:val="auto"/>
          <w:szCs w:val="21"/>
        </w:rPr>
        <w:t xml:space="preserve">                      包名称：</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30"/>
        <w:tblpPr w:leftFromText="180" w:rightFromText="180" w:vertAnchor="text" w:horzAnchor="page" w:tblpX="1667" w:tblpY="307"/>
        <w:tblOverlap w:val="never"/>
        <w:tblW w:w="909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542"/>
        <w:gridCol w:w="975"/>
        <w:gridCol w:w="1368"/>
        <w:gridCol w:w="746"/>
        <w:gridCol w:w="935"/>
        <w:gridCol w:w="1388"/>
        <w:gridCol w:w="1269"/>
      </w:tblGrid>
      <w:tr w14:paraId="4FC334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874" w:type="dxa"/>
            <w:noWrap/>
            <w:vAlign w:val="center"/>
          </w:tcPr>
          <w:p w14:paraId="168C6F61">
            <w:pPr>
              <w:adjustRightInd w:val="0"/>
              <w:snapToGrid w:val="0"/>
              <w:spacing w:line="360" w:lineRule="auto"/>
              <w:jc w:val="center"/>
              <w:rPr>
                <w:rFonts w:ascii="宋体" w:hAnsi="宋体"/>
                <w:color w:val="auto"/>
                <w:szCs w:val="21"/>
              </w:rPr>
            </w:pPr>
            <w:r>
              <w:rPr>
                <w:rFonts w:hint="eastAsia" w:ascii="宋体" w:hAnsi="宋体"/>
                <w:color w:val="auto"/>
                <w:szCs w:val="21"/>
              </w:rPr>
              <w:t>序号</w:t>
            </w:r>
          </w:p>
        </w:tc>
        <w:tc>
          <w:tcPr>
            <w:tcW w:w="1542" w:type="dxa"/>
            <w:noWrap/>
            <w:vAlign w:val="center"/>
          </w:tcPr>
          <w:p w14:paraId="71EA8689">
            <w:pPr>
              <w:adjustRightInd w:val="0"/>
              <w:snapToGrid w:val="0"/>
              <w:spacing w:line="360" w:lineRule="auto"/>
              <w:jc w:val="center"/>
              <w:rPr>
                <w:rFonts w:ascii="宋体" w:hAnsi="宋体"/>
                <w:color w:val="auto"/>
                <w:szCs w:val="21"/>
              </w:rPr>
            </w:pPr>
            <w:r>
              <w:rPr>
                <w:rFonts w:hint="eastAsia" w:ascii="宋体" w:hAnsi="宋体"/>
                <w:color w:val="auto"/>
                <w:szCs w:val="21"/>
              </w:rPr>
              <w:t>服务名称</w:t>
            </w:r>
          </w:p>
        </w:tc>
        <w:tc>
          <w:tcPr>
            <w:tcW w:w="975" w:type="dxa"/>
            <w:noWrap/>
            <w:vAlign w:val="center"/>
          </w:tcPr>
          <w:p w14:paraId="7BACE13A">
            <w:pPr>
              <w:adjustRightInd w:val="0"/>
              <w:snapToGrid w:val="0"/>
              <w:spacing w:line="360" w:lineRule="auto"/>
              <w:jc w:val="center"/>
              <w:rPr>
                <w:rFonts w:ascii="宋体" w:hAnsi="宋体"/>
                <w:color w:val="auto"/>
                <w:szCs w:val="21"/>
              </w:rPr>
            </w:pPr>
            <w:r>
              <w:rPr>
                <w:rFonts w:hint="eastAsia" w:ascii="宋体" w:hAnsi="宋体"/>
                <w:color w:val="auto"/>
                <w:szCs w:val="21"/>
              </w:rPr>
              <w:t>计量单位</w:t>
            </w:r>
          </w:p>
        </w:tc>
        <w:tc>
          <w:tcPr>
            <w:tcW w:w="1368" w:type="dxa"/>
            <w:noWrap/>
            <w:vAlign w:val="center"/>
          </w:tcPr>
          <w:p w14:paraId="52A9105A">
            <w:pPr>
              <w:adjustRightInd w:val="0"/>
              <w:snapToGrid w:val="0"/>
              <w:spacing w:line="360" w:lineRule="auto"/>
              <w:jc w:val="center"/>
              <w:rPr>
                <w:rFonts w:ascii="宋体" w:hAnsi="宋体"/>
                <w:color w:val="auto"/>
                <w:szCs w:val="21"/>
              </w:rPr>
            </w:pPr>
            <w:r>
              <w:rPr>
                <w:rFonts w:hint="eastAsia" w:ascii="宋体" w:hAnsi="宋体"/>
                <w:color w:val="auto"/>
                <w:szCs w:val="21"/>
              </w:rPr>
              <w:t>具体要求说明</w:t>
            </w:r>
          </w:p>
        </w:tc>
        <w:tc>
          <w:tcPr>
            <w:tcW w:w="746" w:type="dxa"/>
            <w:noWrap/>
            <w:vAlign w:val="center"/>
          </w:tcPr>
          <w:p w14:paraId="399A7DC8">
            <w:pPr>
              <w:adjustRightInd w:val="0"/>
              <w:snapToGrid w:val="0"/>
              <w:spacing w:line="360" w:lineRule="auto"/>
              <w:jc w:val="center"/>
              <w:rPr>
                <w:rFonts w:ascii="宋体" w:hAnsi="宋体"/>
                <w:color w:val="auto"/>
                <w:szCs w:val="21"/>
              </w:rPr>
            </w:pPr>
            <w:r>
              <w:rPr>
                <w:rFonts w:hint="eastAsia" w:ascii="宋体" w:hAnsi="宋体"/>
                <w:color w:val="auto"/>
                <w:szCs w:val="21"/>
              </w:rPr>
              <w:t>单价</w:t>
            </w:r>
          </w:p>
        </w:tc>
        <w:tc>
          <w:tcPr>
            <w:tcW w:w="935" w:type="dxa"/>
            <w:noWrap/>
            <w:vAlign w:val="center"/>
          </w:tcPr>
          <w:p w14:paraId="4C77847D">
            <w:pPr>
              <w:adjustRightInd w:val="0"/>
              <w:snapToGrid w:val="0"/>
              <w:spacing w:line="360" w:lineRule="auto"/>
              <w:jc w:val="center"/>
              <w:rPr>
                <w:rFonts w:ascii="宋体" w:hAnsi="宋体"/>
                <w:color w:val="auto"/>
                <w:szCs w:val="21"/>
              </w:rPr>
            </w:pPr>
            <w:r>
              <w:rPr>
                <w:rFonts w:hint="eastAsia" w:ascii="宋体" w:hAnsi="宋体"/>
                <w:color w:val="auto"/>
                <w:szCs w:val="21"/>
              </w:rPr>
              <w:t>数量</w:t>
            </w:r>
          </w:p>
        </w:tc>
        <w:tc>
          <w:tcPr>
            <w:tcW w:w="1388" w:type="dxa"/>
            <w:noWrap/>
            <w:vAlign w:val="center"/>
          </w:tcPr>
          <w:p w14:paraId="27D9181E">
            <w:pPr>
              <w:adjustRightInd w:val="0"/>
              <w:snapToGrid w:val="0"/>
              <w:spacing w:line="360" w:lineRule="auto"/>
              <w:jc w:val="center"/>
              <w:rPr>
                <w:rFonts w:ascii="宋体" w:hAnsi="宋体"/>
                <w:color w:val="auto"/>
                <w:szCs w:val="21"/>
              </w:rPr>
            </w:pPr>
            <w:r>
              <w:rPr>
                <w:rFonts w:hint="eastAsia" w:ascii="宋体" w:hAnsi="宋体"/>
                <w:color w:val="auto"/>
                <w:szCs w:val="21"/>
              </w:rPr>
              <w:t>合计</w:t>
            </w:r>
          </w:p>
        </w:tc>
        <w:tc>
          <w:tcPr>
            <w:tcW w:w="1269" w:type="dxa"/>
            <w:noWrap/>
            <w:vAlign w:val="center"/>
          </w:tcPr>
          <w:p w14:paraId="427F9451">
            <w:pPr>
              <w:adjustRightInd w:val="0"/>
              <w:snapToGrid w:val="0"/>
              <w:spacing w:line="360" w:lineRule="auto"/>
              <w:jc w:val="center"/>
              <w:rPr>
                <w:rFonts w:ascii="宋体" w:hAnsi="宋体"/>
                <w:color w:val="auto"/>
                <w:szCs w:val="21"/>
              </w:rPr>
            </w:pPr>
            <w:r>
              <w:rPr>
                <w:rFonts w:hint="eastAsia" w:ascii="宋体" w:hAnsi="宋体"/>
                <w:color w:val="auto"/>
                <w:szCs w:val="21"/>
              </w:rPr>
              <w:t>备注</w:t>
            </w:r>
          </w:p>
        </w:tc>
      </w:tr>
      <w:tr w14:paraId="28B0A3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4" w:type="dxa"/>
            <w:noWrap/>
            <w:vAlign w:val="center"/>
          </w:tcPr>
          <w:p w14:paraId="6BFF3CB4">
            <w:pPr>
              <w:adjustRightInd w:val="0"/>
              <w:snapToGrid w:val="0"/>
              <w:spacing w:line="360" w:lineRule="auto"/>
              <w:jc w:val="center"/>
              <w:rPr>
                <w:rFonts w:ascii="宋体" w:hAnsi="宋体"/>
                <w:color w:val="auto"/>
                <w:szCs w:val="21"/>
              </w:rPr>
            </w:pPr>
          </w:p>
        </w:tc>
        <w:tc>
          <w:tcPr>
            <w:tcW w:w="1542" w:type="dxa"/>
            <w:noWrap/>
            <w:vAlign w:val="center"/>
          </w:tcPr>
          <w:p w14:paraId="716FB449">
            <w:pPr>
              <w:adjustRightInd w:val="0"/>
              <w:snapToGrid w:val="0"/>
              <w:spacing w:line="360" w:lineRule="auto"/>
              <w:jc w:val="center"/>
              <w:rPr>
                <w:rFonts w:ascii="宋体" w:hAnsi="宋体"/>
                <w:color w:val="auto"/>
                <w:szCs w:val="21"/>
              </w:rPr>
            </w:pPr>
          </w:p>
        </w:tc>
        <w:tc>
          <w:tcPr>
            <w:tcW w:w="975" w:type="dxa"/>
            <w:noWrap/>
          </w:tcPr>
          <w:p w14:paraId="511C981B">
            <w:pPr>
              <w:adjustRightInd w:val="0"/>
              <w:snapToGrid w:val="0"/>
              <w:spacing w:line="360" w:lineRule="auto"/>
              <w:jc w:val="center"/>
              <w:rPr>
                <w:rFonts w:ascii="宋体" w:hAnsi="宋体"/>
                <w:color w:val="auto"/>
                <w:szCs w:val="21"/>
              </w:rPr>
            </w:pPr>
          </w:p>
        </w:tc>
        <w:tc>
          <w:tcPr>
            <w:tcW w:w="1368" w:type="dxa"/>
            <w:noWrap/>
          </w:tcPr>
          <w:p w14:paraId="60511AE5">
            <w:pPr>
              <w:adjustRightInd w:val="0"/>
              <w:snapToGrid w:val="0"/>
              <w:spacing w:line="360" w:lineRule="auto"/>
              <w:jc w:val="center"/>
              <w:rPr>
                <w:rFonts w:ascii="宋体" w:hAnsi="宋体"/>
                <w:color w:val="auto"/>
                <w:szCs w:val="21"/>
              </w:rPr>
            </w:pPr>
          </w:p>
        </w:tc>
        <w:tc>
          <w:tcPr>
            <w:tcW w:w="746" w:type="dxa"/>
            <w:noWrap/>
            <w:vAlign w:val="center"/>
          </w:tcPr>
          <w:p w14:paraId="37A33070">
            <w:pPr>
              <w:adjustRightInd w:val="0"/>
              <w:snapToGrid w:val="0"/>
              <w:spacing w:line="360" w:lineRule="auto"/>
              <w:jc w:val="center"/>
              <w:rPr>
                <w:rFonts w:ascii="宋体" w:hAnsi="宋体"/>
                <w:color w:val="auto"/>
                <w:szCs w:val="21"/>
              </w:rPr>
            </w:pPr>
          </w:p>
        </w:tc>
        <w:tc>
          <w:tcPr>
            <w:tcW w:w="935" w:type="dxa"/>
            <w:noWrap/>
            <w:vAlign w:val="center"/>
          </w:tcPr>
          <w:p w14:paraId="7CEFDF08">
            <w:pPr>
              <w:adjustRightInd w:val="0"/>
              <w:snapToGrid w:val="0"/>
              <w:spacing w:line="360" w:lineRule="auto"/>
              <w:jc w:val="center"/>
              <w:rPr>
                <w:rFonts w:ascii="宋体" w:hAnsi="宋体"/>
                <w:color w:val="auto"/>
                <w:szCs w:val="21"/>
              </w:rPr>
            </w:pPr>
          </w:p>
        </w:tc>
        <w:tc>
          <w:tcPr>
            <w:tcW w:w="1388" w:type="dxa"/>
            <w:noWrap/>
          </w:tcPr>
          <w:p w14:paraId="54A2F002">
            <w:pPr>
              <w:adjustRightInd w:val="0"/>
              <w:snapToGrid w:val="0"/>
              <w:spacing w:line="360" w:lineRule="auto"/>
              <w:jc w:val="center"/>
              <w:rPr>
                <w:rFonts w:ascii="宋体" w:hAnsi="宋体"/>
                <w:color w:val="auto"/>
                <w:szCs w:val="21"/>
              </w:rPr>
            </w:pPr>
          </w:p>
        </w:tc>
        <w:tc>
          <w:tcPr>
            <w:tcW w:w="1269" w:type="dxa"/>
            <w:noWrap/>
            <w:vAlign w:val="center"/>
          </w:tcPr>
          <w:p w14:paraId="6605D51E">
            <w:pPr>
              <w:adjustRightInd w:val="0"/>
              <w:snapToGrid w:val="0"/>
              <w:spacing w:line="360" w:lineRule="auto"/>
              <w:jc w:val="center"/>
              <w:rPr>
                <w:rFonts w:ascii="宋体" w:hAnsi="宋体"/>
                <w:color w:val="auto"/>
                <w:szCs w:val="21"/>
              </w:rPr>
            </w:pPr>
          </w:p>
        </w:tc>
      </w:tr>
      <w:tr w14:paraId="4648CC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4" w:type="dxa"/>
            <w:noWrap/>
            <w:vAlign w:val="center"/>
          </w:tcPr>
          <w:p w14:paraId="36DAC662">
            <w:pPr>
              <w:adjustRightInd w:val="0"/>
              <w:snapToGrid w:val="0"/>
              <w:spacing w:line="360" w:lineRule="auto"/>
              <w:jc w:val="center"/>
              <w:rPr>
                <w:rFonts w:ascii="宋体" w:hAnsi="宋体"/>
                <w:color w:val="auto"/>
                <w:szCs w:val="21"/>
              </w:rPr>
            </w:pPr>
          </w:p>
        </w:tc>
        <w:tc>
          <w:tcPr>
            <w:tcW w:w="1542" w:type="dxa"/>
            <w:noWrap/>
            <w:vAlign w:val="center"/>
          </w:tcPr>
          <w:p w14:paraId="232FA98C">
            <w:pPr>
              <w:adjustRightInd w:val="0"/>
              <w:snapToGrid w:val="0"/>
              <w:spacing w:line="360" w:lineRule="auto"/>
              <w:jc w:val="center"/>
              <w:rPr>
                <w:rFonts w:ascii="宋体" w:hAnsi="宋体"/>
                <w:color w:val="auto"/>
                <w:szCs w:val="21"/>
              </w:rPr>
            </w:pPr>
          </w:p>
        </w:tc>
        <w:tc>
          <w:tcPr>
            <w:tcW w:w="975" w:type="dxa"/>
            <w:noWrap/>
          </w:tcPr>
          <w:p w14:paraId="3A60615C">
            <w:pPr>
              <w:adjustRightInd w:val="0"/>
              <w:snapToGrid w:val="0"/>
              <w:spacing w:line="360" w:lineRule="auto"/>
              <w:jc w:val="center"/>
              <w:rPr>
                <w:rFonts w:ascii="宋体" w:hAnsi="宋体"/>
                <w:color w:val="auto"/>
                <w:szCs w:val="21"/>
              </w:rPr>
            </w:pPr>
          </w:p>
        </w:tc>
        <w:tc>
          <w:tcPr>
            <w:tcW w:w="1368" w:type="dxa"/>
            <w:noWrap/>
          </w:tcPr>
          <w:p w14:paraId="32FA872F">
            <w:pPr>
              <w:adjustRightInd w:val="0"/>
              <w:snapToGrid w:val="0"/>
              <w:spacing w:line="360" w:lineRule="auto"/>
              <w:jc w:val="center"/>
              <w:rPr>
                <w:rFonts w:ascii="宋体" w:hAnsi="宋体"/>
                <w:color w:val="auto"/>
                <w:szCs w:val="21"/>
              </w:rPr>
            </w:pPr>
          </w:p>
        </w:tc>
        <w:tc>
          <w:tcPr>
            <w:tcW w:w="746" w:type="dxa"/>
            <w:noWrap/>
            <w:vAlign w:val="center"/>
          </w:tcPr>
          <w:p w14:paraId="0291B87F">
            <w:pPr>
              <w:adjustRightInd w:val="0"/>
              <w:snapToGrid w:val="0"/>
              <w:spacing w:line="360" w:lineRule="auto"/>
              <w:jc w:val="center"/>
              <w:rPr>
                <w:rFonts w:ascii="宋体" w:hAnsi="宋体"/>
                <w:color w:val="auto"/>
                <w:szCs w:val="21"/>
              </w:rPr>
            </w:pPr>
          </w:p>
        </w:tc>
        <w:tc>
          <w:tcPr>
            <w:tcW w:w="935" w:type="dxa"/>
            <w:noWrap/>
            <w:vAlign w:val="center"/>
          </w:tcPr>
          <w:p w14:paraId="54905C03">
            <w:pPr>
              <w:adjustRightInd w:val="0"/>
              <w:snapToGrid w:val="0"/>
              <w:spacing w:line="360" w:lineRule="auto"/>
              <w:jc w:val="center"/>
              <w:rPr>
                <w:rFonts w:ascii="宋体" w:hAnsi="宋体"/>
                <w:color w:val="auto"/>
                <w:szCs w:val="21"/>
              </w:rPr>
            </w:pPr>
          </w:p>
        </w:tc>
        <w:tc>
          <w:tcPr>
            <w:tcW w:w="1388" w:type="dxa"/>
            <w:noWrap/>
          </w:tcPr>
          <w:p w14:paraId="6E2F521A">
            <w:pPr>
              <w:adjustRightInd w:val="0"/>
              <w:snapToGrid w:val="0"/>
              <w:spacing w:line="360" w:lineRule="auto"/>
              <w:jc w:val="center"/>
              <w:rPr>
                <w:rFonts w:ascii="宋体" w:hAnsi="宋体"/>
                <w:color w:val="auto"/>
                <w:szCs w:val="21"/>
              </w:rPr>
            </w:pPr>
          </w:p>
        </w:tc>
        <w:tc>
          <w:tcPr>
            <w:tcW w:w="1269" w:type="dxa"/>
            <w:noWrap/>
            <w:vAlign w:val="center"/>
          </w:tcPr>
          <w:p w14:paraId="3B5696E2">
            <w:pPr>
              <w:adjustRightInd w:val="0"/>
              <w:snapToGrid w:val="0"/>
              <w:spacing w:line="360" w:lineRule="auto"/>
              <w:jc w:val="center"/>
              <w:rPr>
                <w:rFonts w:ascii="宋体" w:hAnsi="宋体"/>
                <w:color w:val="auto"/>
                <w:szCs w:val="21"/>
              </w:rPr>
            </w:pPr>
          </w:p>
        </w:tc>
      </w:tr>
      <w:tr w14:paraId="293455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4" w:type="dxa"/>
            <w:noWrap/>
            <w:vAlign w:val="center"/>
          </w:tcPr>
          <w:p w14:paraId="2C82D290">
            <w:pPr>
              <w:adjustRightInd w:val="0"/>
              <w:snapToGrid w:val="0"/>
              <w:spacing w:line="360" w:lineRule="auto"/>
              <w:jc w:val="center"/>
              <w:rPr>
                <w:rFonts w:ascii="宋体" w:hAnsi="宋体"/>
                <w:color w:val="auto"/>
                <w:szCs w:val="21"/>
              </w:rPr>
            </w:pPr>
          </w:p>
        </w:tc>
        <w:tc>
          <w:tcPr>
            <w:tcW w:w="1542" w:type="dxa"/>
            <w:noWrap/>
            <w:vAlign w:val="center"/>
          </w:tcPr>
          <w:p w14:paraId="518CB1A2">
            <w:pPr>
              <w:adjustRightInd w:val="0"/>
              <w:snapToGrid w:val="0"/>
              <w:spacing w:line="360" w:lineRule="auto"/>
              <w:jc w:val="center"/>
              <w:rPr>
                <w:rFonts w:ascii="宋体" w:hAnsi="宋体"/>
                <w:color w:val="auto"/>
                <w:szCs w:val="21"/>
              </w:rPr>
            </w:pPr>
          </w:p>
        </w:tc>
        <w:tc>
          <w:tcPr>
            <w:tcW w:w="975" w:type="dxa"/>
            <w:noWrap/>
          </w:tcPr>
          <w:p w14:paraId="0FE852B2">
            <w:pPr>
              <w:adjustRightInd w:val="0"/>
              <w:snapToGrid w:val="0"/>
              <w:spacing w:line="360" w:lineRule="auto"/>
              <w:jc w:val="center"/>
              <w:rPr>
                <w:rFonts w:ascii="宋体" w:hAnsi="宋体"/>
                <w:color w:val="auto"/>
                <w:szCs w:val="21"/>
              </w:rPr>
            </w:pPr>
          </w:p>
        </w:tc>
        <w:tc>
          <w:tcPr>
            <w:tcW w:w="1368" w:type="dxa"/>
            <w:noWrap/>
          </w:tcPr>
          <w:p w14:paraId="595E415E">
            <w:pPr>
              <w:adjustRightInd w:val="0"/>
              <w:snapToGrid w:val="0"/>
              <w:spacing w:line="360" w:lineRule="auto"/>
              <w:jc w:val="center"/>
              <w:rPr>
                <w:rFonts w:ascii="宋体" w:hAnsi="宋体"/>
                <w:color w:val="auto"/>
                <w:szCs w:val="21"/>
              </w:rPr>
            </w:pPr>
          </w:p>
        </w:tc>
        <w:tc>
          <w:tcPr>
            <w:tcW w:w="746" w:type="dxa"/>
            <w:noWrap/>
            <w:vAlign w:val="center"/>
          </w:tcPr>
          <w:p w14:paraId="049DCFC2">
            <w:pPr>
              <w:adjustRightInd w:val="0"/>
              <w:snapToGrid w:val="0"/>
              <w:spacing w:line="360" w:lineRule="auto"/>
              <w:jc w:val="center"/>
              <w:rPr>
                <w:rFonts w:ascii="宋体" w:hAnsi="宋体"/>
                <w:color w:val="auto"/>
                <w:szCs w:val="21"/>
              </w:rPr>
            </w:pPr>
          </w:p>
        </w:tc>
        <w:tc>
          <w:tcPr>
            <w:tcW w:w="935" w:type="dxa"/>
            <w:noWrap/>
            <w:vAlign w:val="center"/>
          </w:tcPr>
          <w:p w14:paraId="21D8DCA1">
            <w:pPr>
              <w:adjustRightInd w:val="0"/>
              <w:snapToGrid w:val="0"/>
              <w:spacing w:line="360" w:lineRule="auto"/>
              <w:jc w:val="center"/>
              <w:rPr>
                <w:rFonts w:ascii="宋体" w:hAnsi="宋体"/>
                <w:color w:val="auto"/>
                <w:szCs w:val="21"/>
              </w:rPr>
            </w:pPr>
          </w:p>
        </w:tc>
        <w:tc>
          <w:tcPr>
            <w:tcW w:w="1388" w:type="dxa"/>
            <w:noWrap/>
          </w:tcPr>
          <w:p w14:paraId="6A6E0250">
            <w:pPr>
              <w:adjustRightInd w:val="0"/>
              <w:snapToGrid w:val="0"/>
              <w:spacing w:line="360" w:lineRule="auto"/>
              <w:jc w:val="center"/>
              <w:rPr>
                <w:rFonts w:ascii="宋体" w:hAnsi="宋体"/>
                <w:color w:val="auto"/>
                <w:szCs w:val="21"/>
              </w:rPr>
            </w:pPr>
          </w:p>
        </w:tc>
        <w:tc>
          <w:tcPr>
            <w:tcW w:w="1269" w:type="dxa"/>
            <w:noWrap/>
            <w:vAlign w:val="center"/>
          </w:tcPr>
          <w:p w14:paraId="5B8BCD0B">
            <w:pPr>
              <w:adjustRightInd w:val="0"/>
              <w:snapToGrid w:val="0"/>
              <w:spacing w:line="360" w:lineRule="auto"/>
              <w:jc w:val="center"/>
              <w:rPr>
                <w:rFonts w:ascii="宋体" w:hAnsi="宋体"/>
                <w:color w:val="auto"/>
                <w:szCs w:val="21"/>
              </w:rPr>
            </w:pPr>
          </w:p>
        </w:tc>
      </w:tr>
      <w:tr w14:paraId="0E3B16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4" w:type="dxa"/>
            <w:noWrap/>
            <w:vAlign w:val="center"/>
          </w:tcPr>
          <w:p w14:paraId="4A15DDDA">
            <w:pPr>
              <w:adjustRightInd w:val="0"/>
              <w:snapToGrid w:val="0"/>
              <w:spacing w:line="360" w:lineRule="auto"/>
              <w:jc w:val="center"/>
              <w:rPr>
                <w:rFonts w:ascii="宋体" w:hAnsi="宋体"/>
                <w:color w:val="auto"/>
                <w:szCs w:val="21"/>
              </w:rPr>
            </w:pPr>
          </w:p>
        </w:tc>
        <w:tc>
          <w:tcPr>
            <w:tcW w:w="1542" w:type="dxa"/>
            <w:noWrap/>
            <w:vAlign w:val="center"/>
          </w:tcPr>
          <w:p w14:paraId="3C912F4B">
            <w:pPr>
              <w:adjustRightInd w:val="0"/>
              <w:snapToGrid w:val="0"/>
              <w:spacing w:line="360" w:lineRule="auto"/>
              <w:jc w:val="center"/>
              <w:rPr>
                <w:rFonts w:ascii="宋体" w:hAnsi="宋体"/>
                <w:color w:val="auto"/>
                <w:szCs w:val="21"/>
              </w:rPr>
            </w:pPr>
            <w:r>
              <w:rPr>
                <w:rFonts w:hint="eastAsia" w:ascii="宋体" w:hAnsi="宋体"/>
                <w:color w:val="auto"/>
                <w:szCs w:val="21"/>
              </w:rPr>
              <w:t>合计</w:t>
            </w:r>
          </w:p>
        </w:tc>
        <w:tc>
          <w:tcPr>
            <w:tcW w:w="975" w:type="dxa"/>
            <w:noWrap/>
          </w:tcPr>
          <w:p w14:paraId="7E1165FA">
            <w:pPr>
              <w:adjustRightInd w:val="0"/>
              <w:snapToGrid w:val="0"/>
              <w:spacing w:line="360" w:lineRule="auto"/>
              <w:jc w:val="center"/>
              <w:rPr>
                <w:rFonts w:ascii="宋体" w:hAnsi="宋体"/>
                <w:color w:val="auto"/>
                <w:szCs w:val="21"/>
              </w:rPr>
            </w:pPr>
          </w:p>
        </w:tc>
        <w:tc>
          <w:tcPr>
            <w:tcW w:w="1368" w:type="dxa"/>
            <w:noWrap/>
          </w:tcPr>
          <w:p w14:paraId="54797C37">
            <w:pPr>
              <w:adjustRightInd w:val="0"/>
              <w:snapToGrid w:val="0"/>
              <w:spacing w:line="360" w:lineRule="auto"/>
              <w:jc w:val="center"/>
              <w:rPr>
                <w:rFonts w:ascii="宋体" w:hAnsi="宋体"/>
                <w:color w:val="auto"/>
                <w:szCs w:val="21"/>
              </w:rPr>
            </w:pPr>
          </w:p>
        </w:tc>
        <w:tc>
          <w:tcPr>
            <w:tcW w:w="746" w:type="dxa"/>
            <w:noWrap/>
            <w:vAlign w:val="center"/>
          </w:tcPr>
          <w:p w14:paraId="06C06BE5">
            <w:pPr>
              <w:adjustRightInd w:val="0"/>
              <w:snapToGrid w:val="0"/>
              <w:spacing w:line="360" w:lineRule="auto"/>
              <w:jc w:val="center"/>
              <w:rPr>
                <w:rFonts w:ascii="宋体" w:hAnsi="宋体"/>
                <w:color w:val="auto"/>
                <w:szCs w:val="21"/>
              </w:rPr>
            </w:pPr>
          </w:p>
        </w:tc>
        <w:tc>
          <w:tcPr>
            <w:tcW w:w="935" w:type="dxa"/>
            <w:noWrap/>
            <w:vAlign w:val="center"/>
          </w:tcPr>
          <w:p w14:paraId="6D2B6AE4">
            <w:pPr>
              <w:adjustRightInd w:val="0"/>
              <w:snapToGrid w:val="0"/>
              <w:spacing w:line="360" w:lineRule="auto"/>
              <w:jc w:val="center"/>
              <w:rPr>
                <w:rFonts w:ascii="宋体" w:hAnsi="宋体"/>
                <w:color w:val="auto"/>
                <w:szCs w:val="21"/>
              </w:rPr>
            </w:pPr>
          </w:p>
        </w:tc>
        <w:tc>
          <w:tcPr>
            <w:tcW w:w="1388" w:type="dxa"/>
            <w:noWrap/>
          </w:tcPr>
          <w:p w14:paraId="00A923AD">
            <w:pPr>
              <w:adjustRightInd w:val="0"/>
              <w:snapToGrid w:val="0"/>
              <w:spacing w:line="360" w:lineRule="auto"/>
              <w:jc w:val="center"/>
              <w:rPr>
                <w:rFonts w:ascii="宋体" w:hAnsi="宋体"/>
                <w:color w:val="auto"/>
                <w:szCs w:val="21"/>
              </w:rPr>
            </w:pPr>
          </w:p>
        </w:tc>
        <w:tc>
          <w:tcPr>
            <w:tcW w:w="1269" w:type="dxa"/>
            <w:noWrap/>
            <w:vAlign w:val="center"/>
          </w:tcPr>
          <w:p w14:paraId="78206329">
            <w:pPr>
              <w:adjustRightInd w:val="0"/>
              <w:snapToGrid w:val="0"/>
              <w:spacing w:line="360" w:lineRule="auto"/>
              <w:jc w:val="center"/>
              <w:rPr>
                <w:rFonts w:ascii="宋体" w:hAnsi="宋体"/>
                <w:color w:val="auto"/>
                <w:szCs w:val="21"/>
              </w:rPr>
            </w:pPr>
          </w:p>
        </w:tc>
      </w:tr>
    </w:tbl>
    <w:p w14:paraId="342C25D8">
      <w:pPr>
        <w:adjustRightInd w:val="0"/>
        <w:snapToGrid w:val="0"/>
        <w:spacing w:line="360" w:lineRule="auto"/>
        <w:rPr>
          <w:rFonts w:ascii="宋体" w:hAnsi="宋体"/>
          <w:color w:val="auto"/>
          <w:szCs w:val="21"/>
        </w:rPr>
      </w:pPr>
    </w:p>
    <w:p w14:paraId="36F10929">
      <w:pPr>
        <w:adjustRightInd w:val="0"/>
        <w:snapToGrid w:val="0"/>
        <w:spacing w:line="360" w:lineRule="auto"/>
        <w:rPr>
          <w:rFonts w:ascii="宋体" w:hAnsi="宋体"/>
          <w:color w:val="auto"/>
          <w:szCs w:val="21"/>
        </w:rPr>
      </w:pPr>
    </w:p>
    <w:p w14:paraId="67A727EC">
      <w:pPr>
        <w:adjustRightInd w:val="0"/>
        <w:snapToGrid w:val="0"/>
        <w:spacing w:line="360" w:lineRule="auto"/>
        <w:rPr>
          <w:rFonts w:ascii="宋体" w:hAnsi="宋体"/>
          <w:b/>
          <w:bCs/>
          <w:color w:val="auto"/>
          <w:szCs w:val="21"/>
        </w:rPr>
      </w:pPr>
      <w:r>
        <w:rPr>
          <w:rFonts w:hint="eastAsia" w:ascii="宋体" w:hAnsi="宋体"/>
          <w:color w:val="auto"/>
          <w:szCs w:val="21"/>
        </w:rPr>
        <w:t>注：</w:t>
      </w:r>
      <w:r>
        <w:rPr>
          <w:rFonts w:hint="eastAsia" w:ascii="宋体" w:hAnsi="宋体"/>
          <w:b/>
          <w:bCs/>
          <w:color w:val="auto"/>
          <w:szCs w:val="21"/>
        </w:rPr>
        <w:t>1、此表仅为参考，投标人根据招标人发布的控制价格式进行报价（如有）。</w:t>
      </w:r>
    </w:p>
    <w:p w14:paraId="3B7E5FD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b/>
          <w:color w:val="auto"/>
          <w:szCs w:val="21"/>
        </w:rPr>
        <w:t>本表应对应</w:t>
      </w:r>
      <w:r>
        <w:rPr>
          <w:rFonts w:hint="eastAsia" w:ascii="宋体" w:hAnsi="宋体"/>
          <w:color w:val="auto"/>
          <w:szCs w:val="21"/>
        </w:rPr>
        <w:t>“</w:t>
      </w:r>
      <w:r>
        <w:rPr>
          <w:rFonts w:hint="eastAsia" w:ascii="宋体" w:hAnsi="宋体"/>
          <w:b/>
          <w:color w:val="auto"/>
          <w:szCs w:val="21"/>
        </w:rPr>
        <w:t>开标一览表</w:t>
      </w:r>
      <w:r>
        <w:rPr>
          <w:rFonts w:hint="eastAsia" w:ascii="宋体" w:hAnsi="宋体"/>
          <w:color w:val="auto"/>
          <w:szCs w:val="21"/>
        </w:rPr>
        <w:t>”</w:t>
      </w:r>
      <w:r>
        <w:rPr>
          <w:rFonts w:hint="eastAsia" w:ascii="宋体" w:hAnsi="宋体"/>
          <w:b/>
          <w:color w:val="auto"/>
          <w:szCs w:val="21"/>
        </w:rPr>
        <w:t>，按包填写</w:t>
      </w:r>
      <w:r>
        <w:rPr>
          <w:rFonts w:hint="eastAsia" w:ascii="宋体" w:hAnsi="宋体"/>
          <w:color w:val="auto"/>
          <w:szCs w:val="21"/>
        </w:rPr>
        <w:t>。投标人如果不提供分项报价明细表，其</w:t>
      </w:r>
      <w:r>
        <w:rPr>
          <w:rFonts w:hint="eastAsia" w:ascii="宋体" w:hAnsi="宋体"/>
          <w:b/>
          <w:color w:val="auto"/>
          <w:szCs w:val="21"/>
        </w:rPr>
        <w:t>投标无效</w:t>
      </w:r>
      <w:r>
        <w:rPr>
          <w:rFonts w:hint="eastAsia" w:ascii="宋体" w:hAnsi="宋体"/>
          <w:color w:val="auto"/>
          <w:szCs w:val="21"/>
        </w:rPr>
        <w:t>。</w:t>
      </w:r>
    </w:p>
    <w:p w14:paraId="2B322BB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3.不得填写“免费”或“赠与”，也不得进行“零”报价，否则</w:t>
      </w:r>
      <w:r>
        <w:rPr>
          <w:rFonts w:hint="eastAsia" w:ascii="宋体" w:hAnsi="宋体"/>
          <w:b/>
          <w:color w:val="auto"/>
          <w:szCs w:val="21"/>
        </w:rPr>
        <w:t>投标无效</w:t>
      </w:r>
      <w:r>
        <w:rPr>
          <w:rFonts w:hint="eastAsia" w:ascii="宋体" w:hAnsi="宋体"/>
          <w:color w:val="auto"/>
          <w:szCs w:val="21"/>
        </w:rPr>
        <w:t>。</w:t>
      </w:r>
    </w:p>
    <w:p w14:paraId="5186030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4.如果开标一览表内容与本表内容不一致的，以开标一览表内容为准。</w:t>
      </w:r>
    </w:p>
    <w:p w14:paraId="531A352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w:t>
      </w:r>
      <w:r>
        <w:rPr>
          <w:rFonts w:hint="eastAsia" w:ascii="宋体" w:hAnsi="宋体"/>
          <w:bCs/>
          <w:color w:val="auto"/>
          <w:szCs w:val="21"/>
        </w:rPr>
        <w:t>投标人在投标截止时间前修改“开标一览表”中的投标报价的，应按第二章第13.7款规定修改本表相应内容。否则，</w:t>
      </w:r>
      <w:r>
        <w:rPr>
          <w:rFonts w:hint="eastAsia" w:ascii="宋体" w:hAnsi="宋体"/>
          <w:color w:val="auto"/>
          <w:szCs w:val="21"/>
        </w:rPr>
        <w:t>本表相应内容按投标报价修改的相同比例进行调整。</w:t>
      </w:r>
    </w:p>
    <w:p w14:paraId="210AB868">
      <w:pPr>
        <w:adjustRightInd w:val="0"/>
        <w:snapToGrid w:val="0"/>
        <w:spacing w:line="360" w:lineRule="auto"/>
        <w:rPr>
          <w:rFonts w:ascii="宋体" w:hAnsi="宋体"/>
          <w:color w:val="auto"/>
          <w:szCs w:val="21"/>
        </w:rPr>
      </w:pPr>
    </w:p>
    <w:p w14:paraId="4AC0048E">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580A1885">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26177915">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1D3F330">
      <w:pPr>
        <w:adjustRightInd w:val="0"/>
        <w:snapToGrid w:val="0"/>
        <w:spacing w:line="360" w:lineRule="auto"/>
        <w:rPr>
          <w:rFonts w:ascii="宋体" w:hAnsi="宋体"/>
          <w:color w:val="auto"/>
          <w:szCs w:val="21"/>
        </w:rPr>
        <w:sectPr>
          <w:headerReference r:id="rId8" w:type="first"/>
          <w:footerReference r:id="rId11" w:type="first"/>
          <w:headerReference r:id="rId6" w:type="default"/>
          <w:footerReference r:id="rId9" w:type="default"/>
          <w:headerReference r:id="rId7" w:type="even"/>
          <w:footerReference r:id="rId10" w:type="even"/>
          <w:pgSz w:w="11906" w:h="16838"/>
          <w:pgMar w:top="1474" w:right="1474" w:bottom="1474" w:left="1588" w:header="851" w:footer="992" w:gutter="0"/>
          <w:cols w:space="720" w:num="1"/>
          <w:docGrid w:type="lines" w:linePitch="312" w:charSpace="0"/>
        </w:sectPr>
      </w:pPr>
    </w:p>
    <w:p w14:paraId="65CF251B">
      <w:pPr>
        <w:pStyle w:val="14"/>
        <w:adjustRightInd w:val="0"/>
        <w:snapToGrid w:val="0"/>
        <w:spacing w:before="0" w:after="0" w:line="360" w:lineRule="auto"/>
        <w:jc w:val="center"/>
        <w:rPr>
          <w:rFonts w:ascii="黑体" w:hAnsi="宋体" w:eastAsia="黑体"/>
          <w:color w:val="auto"/>
          <w:sz w:val="28"/>
          <w:szCs w:val="28"/>
        </w:rPr>
      </w:pPr>
      <w:bookmarkStart w:id="98" w:name="_Toc30674"/>
      <w:r>
        <w:rPr>
          <w:rFonts w:hint="eastAsia" w:ascii="黑体" w:hAnsi="宋体" w:eastAsia="黑体"/>
          <w:color w:val="auto"/>
          <w:sz w:val="28"/>
          <w:szCs w:val="28"/>
        </w:rPr>
        <w:t>六、采购需求响应</w:t>
      </w:r>
      <w:bookmarkEnd w:id="98"/>
    </w:p>
    <w:p w14:paraId="57ACB576">
      <w:pPr>
        <w:adjustRightInd w:val="0"/>
        <w:snapToGrid w:val="0"/>
        <w:spacing w:line="360" w:lineRule="auto"/>
        <w:rPr>
          <w:rFonts w:ascii="宋体" w:hAnsi="宋体"/>
          <w:b/>
          <w:color w:val="auto"/>
          <w:szCs w:val="21"/>
        </w:rPr>
      </w:pPr>
    </w:p>
    <w:p w14:paraId="0EABEC8A">
      <w:pPr>
        <w:adjustRightInd w:val="0"/>
        <w:snapToGrid w:val="0"/>
        <w:spacing w:line="360" w:lineRule="auto"/>
        <w:rPr>
          <w:b/>
          <w:color w:val="auto"/>
        </w:rPr>
      </w:pPr>
      <w:r>
        <w:rPr>
          <w:rFonts w:hint="eastAsia" w:ascii="宋体" w:hAnsi="宋体"/>
          <w:b/>
          <w:color w:val="auto"/>
          <w:szCs w:val="21"/>
        </w:rPr>
        <w:t>编制说明</w:t>
      </w:r>
      <w:r>
        <w:rPr>
          <w:rFonts w:hint="eastAsia" w:ascii="宋体" w:hAnsi="宋体"/>
          <w:bCs/>
          <w:color w:val="auto"/>
          <w:szCs w:val="21"/>
        </w:rPr>
        <w:t>：</w:t>
      </w:r>
      <w:r>
        <w:rPr>
          <w:rFonts w:hint="eastAsia"/>
          <w:b/>
          <w:color w:val="auto"/>
        </w:rPr>
        <w:t>投标人应按招标文件评审办法并结合第五章采购需求自行编写采购需求响应文件（格式自拟）。</w:t>
      </w:r>
    </w:p>
    <w:p w14:paraId="6AA9B1BF">
      <w:pPr>
        <w:pStyle w:val="20"/>
        <w:adjustRightInd w:val="0"/>
        <w:snapToGrid w:val="0"/>
        <w:spacing w:line="360" w:lineRule="auto"/>
        <w:ind w:left="-88" w:leftChars="-42"/>
        <w:rPr>
          <w:rFonts w:ascii="宋体" w:hAnsi="宋体"/>
          <w:bCs/>
          <w:color w:val="auto"/>
          <w:sz w:val="21"/>
          <w:szCs w:val="21"/>
        </w:rPr>
      </w:pPr>
    </w:p>
    <w:p w14:paraId="5679B1B4">
      <w:pPr>
        <w:rPr>
          <w:color w:val="auto"/>
        </w:rPr>
      </w:pPr>
    </w:p>
    <w:p w14:paraId="3AB741DA">
      <w:pPr>
        <w:rPr>
          <w:color w:val="auto"/>
        </w:rPr>
      </w:pPr>
    </w:p>
    <w:p w14:paraId="2A108878">
      <w:pPr>
        <w:pStyle w:val="20"/>
        <w:tabs>
          <w:tab w:val="left" w:pos="6208"/>
        </w:tabs>
        <w:adjustRightInd w:val="0"/>
        <w:snapToGrid w:val="0"/>
        <w:spacing w:line="360" w:lineRule="auto"/>
        <w:ind w:left="-88" w:leftChars="-42"/>
        <w:rPr>
          <w:rFonts w:ascii="宋体" w:hAnsi="宋体"/>
          <w:bCs/>
          <w:color w:val="auto"/>
          <w:sz w:val="21"/>
          <w:szCs w:val="21"/>
        </w:rPr>
      </w:pPr>
    </w:p>
    <w:p w14:paraId="20F18C6E">
      <w:pPr>
        <w:adjustRightInd w:val="0"/>
        <w:snapToGrid w:val="0"/>
        <w:spacing w:line="360" w:lineRule="auto"/>
        <w:rPr>
          <w:rFonts w:ascii="宋体" w:hAnsi="宋体"/>
          <w:color w:val="auto"/>
          <w:szCs w:val="21"/>
        </w:rPr>
      </w:pPr>
    </w:p>
    <w:p w14:paraId="244B91C0">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6E14D26D">
      <w:pPr>
        <w:adjustRightInd w:val="0"/>
        <w:snapToGrid w:val="0"/>
        <w:spacing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445A8615">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4827805">
      <w:pPr>
        <w:rPr>
          <w:color w:val="auto"/>
        </w:rPr>
      </w:pPr>
    </w:p>
    <w:p w14:paraId="6E01D385">
      <w:pPr>
        <w:rPr>
          <w:color w:val="auto"/>
        </w:rPr>
      </w:pPr>
    </w:p>
    <w:p w14:paraId="2E81F558">
      <w:pPr>
        <w:adjustRightInd w:val="0"/>
        <w:snapToGrid w:val="0"/>
        <w:spacing w:line="360" w:lineRule="auto"/>
        <w:rPr>
          <w:rFonts w:ascii="宋体" w:hAnsi="宋体"/>
          <w:color w:val="auto"/>
          <w:szCs w:val="21"/>
        </w:rPr>
      </w:pPr>
    </w:p>
    <w:p w14:paraId="11AE9228">
      <w:pPr>
        <w:adjustRightInd w:val="0"/>
        <w:snapToGrid w:val="0"/>
        <w:spacing w:line="360" w:lineRule="auto"/>
        <w:rPr>
          <w:rFonts w:ascii="宋体" w:hAnsi="宋体"/>
          <w:color w:val="auto"/>
          <w:szCs w:val="21"/>
        </w:rPr>
      </w:pPr>
    </w:p>
    <w:p w14:paraId="0ECDA73E">
      <w:pPr>
        <w:adjustRightInd w:val="0"/>
        <w:snapToGrid w:val="0"/>
        <w:spacing w:line="360" w:lineRule="auto"/>
        <w:rPr>
          <w:rFonts w:ascii="黑体" w:hAnsi="宋体" w:eastAsia="黑体"/>
          <w:color w:val="auto"/>
          <w:sz w:val="28"/>
          <w:szCs w:val="28"/>
        </w:rPr>
        <w:sectPr>
          <w:headerReference r:id="rId14" w:type="first"/>
          <w:headerReference r:id="rId12" w:type="default"/>
          <w:footerReference r:id="rId15" w:type="default"/>
          <w:headerReference r:id="rId13" w:type="even"/>
          <w:pgSz w:w="11906" w:h="16838"/>
          <w:pgMar w:top="1474" w:right="1474" w:bottom="1474" w:left="1588" w:header="851" w:footer="992" w:gutter="0"/>
          <w:cols w:space="720" w:num="1"/>
          <w:docGrid w:type="lines" w:linePitch="312" w:charSpace="0"/>
        </w:sectPr>
      </w:pPr>
    </w:p>
    <w:p w14:paraId="3EE08B0E">
      <w:pPr>
        <w:pStyle w:val="14"/>
        <w:adjustRightInd w:val="0"/>
        <w:snapToGrid w:val="0"/>
        <w:spacing w:beforeLines="50" w:after="0" w:line="360" w:lineRule="auto"/>
        <w:jc w:val="center"/>
        <w:rPr>
          <w:rFonts w:ascii="黑体" w:hAnsi="宋体" w:eastAsia="黑体"/>
          <w:color w:val="auto"/>
          <w:sz w:val="28"/>
          <w:szCs w:val="28"/>
        </w:rPr>
      </w:pPr>
      <w:bookmarkStart w:id="99" w:name="_Toc4933"/>
      <w:r>
        <w:rPr>
          <w:rFonts w:hint="eastAsia" w:ascii="黑体" w:hAnsi="宋体" w:eastAsia="黑体"/>
          <w:color w:val="auto"/>
          <w:sz w:val="28"/>
          <w:szCs w:val="28"/>
        </w:rPr>
        <w:t>七、采购需求偏离表</w:t>
      </w:r>
      <w:bookmarkEnd w:id="99"/>
    </w:p>
    <w:p w14:paraId="2352DE5B">
      <w:pPr>
        <w:adjustRightInd w:val="0"/>
        <w:snapToGrid w:val="0"/>
        <w:spacing w:beforeLines="50"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p>
    <w:p w14:paraId="47E75866">
      <w:pPr>
        <w:adjustRightInd w:val="0"/>
        <w:snapToGrid w:val="0"/>
        <w:spacing w:beforeLines="50" w:line="360" w:lineRule="auto"/>
        <w:rPr>
          <w:rFonts w:ascii="宋体" w:hAnsi="宋体"/>
          <w:color w:val="auto"/>
          <w:szCs w:val="21"/>
          <w:u w:val="single"/>
        </w:rPr>
      </w:pPr>
      <w:r>
        <w:rPr>
          <w:rFonts w:hint="eastAsia" w:ascii="宋体" w:hAnsi="宋体"/>
          <w:color w:val="auto"/>
          <w:szCs w:val="21"/>
        </w:rPr>
        <w:t>包   号：</w:t>
      </w:r>
      <w:r>
        <w:rPr>
          <w:rFonts w:hint="eastAsia" w:ascii="宋体" w:hAnsi="宋体"/>
          <w:color w:val="auto"/>
          <w:szCs w:val="21"/>
          <w:u w:val="single"/>
        </w:rPr>
        <w:t xml:space="preserve">                        </w:t>
      </w:r>
      <w:r>
        <w:rPr>
          <w:rFonts w:hint="eastAsia" w:ascii="宋体" w:hAnsi="宋体"/>
          <w:color w:val="auto"/>
          <w:szCs w:val="21"/>
        </w:rPr>
        <w:t xml:space="preserve">           包名称：</w:t>
      </w:r>
      <w:r>
        <w:rPr>
          <w:rFonts w:hint="eastAsia" w:ascii="宋体" w:hAnsi="宋体"/>
          <w:color w:val="auto"/>
          <w:szCs w:val="21"/>
          <w:u w:val="single"/>
        </w:rPr>
        <w:t xml:space="preserve">                    </w:t>
      </w:r>
    </w:p>
    <w:tbl>
      <w:tblPr>
        <w:tblStyle w:val="30"/>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76DFB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noWrap/>
            <w:vAlign w:val="center"/>
          </w:tcPr>
          <w:p w14:paraId="140FCAC6">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noWrap/>
            <w:vAlign w:val="center"/>
          </w:tcPr>
          <w:p w14:paraId="36CCB038">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招标文件章节</w:t>
            </w:r>
            <w:r>
              <w:rPr>
                <w:rFonts w:hint="eastAsia" w:ascii="宋体" w:hAnsi="宋体"/>
                <w:bCs/>
                <w:color w:val="auto"/>
                <w:szCs w:val="21"/>
              </w:rPr>
              <w:t>条</w:t>
            </w:r>
            <w:r>
              <w:rPr>
                <w:rFonts w:hint="eastAsia" w:ascii="宋体" w:hAnsi="宋体"/>
                <w:color w:val="auto"/>
                <w:szCs w:val="21"/>
              </w:rPr>
              <w:t>款号</w:t>
            </w:r>
          </w:p>
        </w:tc>
        <w:tc>
          <w:tcPr>
            <w:tcW w:w="1985" w:type="dxa"/>
            <w:tcBorders>
              <w:right w:val="single" w:color="auto" w:sz="4" w:space="0"/>
            </w:tcBorders>
            <w:noWrap/>
          </w:tcPr>
          <w:p w14:paraId="35B52C85">
            <w:pPr>
              <w:adjustRightInd w:val="0"/>
              <w:snapToGrid w:val="0"/>
              <w:spacing w:before="50" w:line="360" w:lineRule="auto"/>
              <w:jc w:val="center"/>
              <w:rPr>
                <w:color w:val="auto"/>
              </w:rPr>
            </w:pPr>
            <w:r>
              <w:rPr>
                <w:rFonts w:hint="eastAsia"/>
                <w:color w:val="auto"/>
              </w:rPr>
              <w:t>招标文件要求</w:t>
            </w:r>
          </w:p>
        </w:tc>
        <w:tc>
          <w:tcPr>
            <w:tcW w:w="2126" w:type="dxa"/>
            <w:tcBorders>
              <w:left w:val="single" w:color="auto" w:sz="4" w:space="0"/>
            </w:tcBorders>
            <w:noWrap/>
          </w:tcPr>
          <w:p w14:paraId="070FBD14">
            <w:pPr>
              <w:adjustRightInd w:val="0"/>
              <w:snapToGrid w:val="0"/>
              <w:spacing w:before="50" w:line="360" w:lineRule="auto"/>
              <w:jc w:val="center"/>
              <w:rPr>
                <w:color w:val="auto"/>
              </w:rPr>
            </w:pPr>
            <w:r>
              <w:rPr>
                <w:rFonts w:hint="eastAsia"/>
                <w:color w:val="auto"/>
              </w:rPr>
              <w:t>投标文件应答</w:t>
            </w:r>
          </w:p>
        </w:tc>
        <w:tc>
          <w:tcPr>
            <w:tcW w:w="1756" w:type="dxa"/>
            <w:noWrap/>
            <w:vAlign w:val="center"/>
          </w:tcPr>
          <w:p w14:paraId="2695D692">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14:paraId="774FD5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ign w:val="center"/>
          </w:tcPr>
          <w:p w14:paraId="34C0ED40">
            <w:pPr>
              <w:adjustRightInd w:val="0"/>
              <w:snapToGrid w:val="0"/>
              <w:spacing w:before="50" w:line="360" w:lineRule="auto"/>
              <w:ind w:left="-88" w:leftChars="-42"/>
              <w:jc w:val="center"/>
              <w:rPr>
                <w:rFonts w:ascii="宋体" w:hAnsi="宋体"/>
                <w:color w:val="auto"/>
                <w:szCs w:val="21"/>
              </w:rPr>
            </w:pPr>
          </w:p>
        </w:tc>
        <w:tc>
          <w:tcPr>
            <w:tcW w:w="2410" w:type="dxa"/>
            <w:noWrap/>
            <w:vAlign w:val="center"/>
          </w:tcPr>
          <w:p w14:paraId="244E3D5F">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ign w:val="center"/>
          </w:tcPr>
          <w:p w14:paraId="6B553F0C">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noWrap/>
            <w:vAlign w:val="center"/>
          </w:tcPr>
          <w:p w14:paraId="3F495FAC">
            <w:pPr>
              <w:adjustRightInd w:val="0"/>
              <w:snapToGrid w:val="0"/>
              <w:spacing w:before="50" w:line="360" w:lineRule="auto"/>
              <w:ind w:left="-88" w:leftChars="-42"/>
              <w:jc w:val="center"/>
              <w:rPr>
                <w:rFonts w:ascii="宋体" w:hAnsi="宋体"/>
                <w:color w:val="auto"/>
                <w:szCs w:val="21"/>
              </w:rPr>
            </w:pPr>
          </w:p>
        </w:tc>
        <w:tc>
          <w:tcPr>
            <w:tcW w:w="1756" w:type="dxa"/>
            <w:noWrap/>
            <w:vAlign w:val="center"/>
          </w:tcPr>
          <w:p w14:paraId="54963B83">
            <w:pPr>
              <w:adjustRightInd w:val="0"/>
              <w:snapToGrid w:val="0"/>
              <w:spacing w:before="50" w:line="360" w:lineRule="auto"/>
              <w:ind w:left="-88" w:leftChars="-42"/>
              <w:jc w:val="center"/>
              <w:rPr>
                <w:rFonts w:ascii="宋体" w:hAnsi="宋体"/>
                <w:color w:val="auto"/>
                <w:szCs w:val="21"/>
              </w:rPr>
            </w:pPr>
          </w:p>
        </w:tc>
      </w:tr>
      <w:tr w14:paraId="6AC26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ign w:val="center"/>
          </w:tcPr>
          <w:p w14:paraId="1C6DD185">
            <w:pPr>
              <w:adjustRightInd w:val="0"/>
              <w:snapToGrid w:val="0"/>
              <w:spacing w:before="50" w:line="360" w:lineRule="auto"/>
              <w:ind w:left="-88" w:leftChars="-42"/>
              <w:jc w:val="center"/>
              <w:rPr>
                <w:rFonts w:ascii="宋体" w:hAnsi="宋体"/>
                <w:color w:val="auto"/>
                <w:szCs w:val="21"/>
              </w:rPr>
            </w:pPr>
          </w:p>
        </w:tc>
        <w:tc>
          <w:tcPr>
            <w:tcW w:w="2410" w:type="dxa"/>
            <w:noWrap/>
            <w:vAlign w:val="center"/>
          </w:tcPr>
          <w:p w14:paraId="72C30D9B">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ign w:val="center"/>
          </w:tcPr>
          <w:p w14:paraId="6C6C0F6C">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noWrap/>
            <w:vAlign w:val="center"/>
          </w:tcPr>
          <w:p w14:paraId="7BFF6829">
            <w:pPr>
              <w:adjustRightInd w:val="0"/>
              <w:snapToGrid w:val="0"/>
              <w:spacing w:before="50" w:line="360" w:lineRule="auto"/>
              <w:ind w:left="-88" w:leftChars="-42"/>
              <w:jc w:val="center"/>
              <w:rPr>
                <w:rFonts w:ascii="宋体" w:hAnsi="宋体"/>
                <w:color w:val="auto"/>
                <w:szCs w:val="21"/>
              </w:rPr>
            </w:pPr>
          </w:p>
        </w:tc>
        <w:tc>
          <w:tcPr>
            <w:tcW w:w="1756" w:type="dxa"/>
            <w:noWrap/>
            <w:vAlign w:val="center"/>
          </w:tcPr>
          <w:p w14:paraId="0832AC56">
            <w:pPr>
              <w:adjustRightInd w:val="0"/>
              <w:snapToGrid w:val="0"/>
              <w:spacing w:before="50" w:line="360" w:lineRule="auto"/>
              <w:ind w:left="-88" w:leftChars="-42"/>
              <w:jc w:val="center"/>
              <w:rPr>
                <w:rFonts w:ascii="宋体" w:hAnsi="宋体"/>
                <w:color w:val="auto"/>
                <w:szCs w:val="21"/>
              </w:rPr>
            </w:pPr>
          </w:p>
        </w:tc>
      </w:tr>
      <w:tr w14:paraId="74535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ign w:val="center"/>
          </w:tcPr>
          <w:p w14:paraId="70281AC7">
            <w:pPr>
              <w:adjustRightInd w:val="0"/>
              <w:snapToGrid w:val="0"/>
              <w:spacing w:before="50" w:line="360" w:lineRule="auto"/>
              <w:ind w:left="-88" w:leftChars="-42"/>
              <w:jc w:val="center"/>
              <w:rPr>
                <w:rFonts w:ascii="宋体" w:hAnsi="宋体"/>
                <w:color w:val="auto"/>
                <w:szCs w:val="21"/>
              </w:rPr>
            </w:pPr>
          </w:p>
        </w:tc>
        <w:tc>
          <w:tcPr>
            <w:tcW w:w="2410" w:type="dxa"/>
            <w:noWrap/>
            <w:vAlign w:val="center"/>
          </w:tcPr>
          <w:p w14:paraId="031D2B5E">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ign w:val="center"/>
          </w:tcPr>
          <w:p w14:paraId="585D5D4E">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noWrap/>
            <w:vAlign w:val="center"/>
          </w:tcPr>
          <w:p w14:paraId="1C0F161A">
            <w:pPr>
              <w:adjustRightInd w:val="0"/>
              <w:snapToGrid w:val="0"/>
              <w:spacing w:before="50" w:line="360" w:lineRule="auto"/>
              <w:ind w:left="-88" w:leftChars="-42"/>
              <w:jc w:val="center"/>
              <w:rPr>
                <w:rFonts w:ascii="宋体" w:hAnsi="宋体"/>
                <w:color w:val="auto"/>
                <w:szCs w:val="21"/>
              </w:rPr>
            </w:pPr>
          </w:p>
        </w:tc>
        <w:tc>
          <w:tcPr>
            <w:tcW w:w="1756" w:type="dxa"/>
            <w:noWrap/>
            <w:vAlign w:val="center"/>
          </w:tcPr>
          <w:p w14:paraId="024D30EC">
            <w:pPr>
              <w:adjustRightInd w:val="0"/>
              <w:snapToGrid w:val="0"/>
              <w:spacing w:before="50" w:line="360" w:lineRule="auto"/>
              <w:ind w:left="-88" w:leftChars="-42"/>
              <w:jc w:val="center"/>
              <w:rPr>
                <w:rFonts w:ascii="宋体" w:hAnsi="宋体"/>
                <w:color w:val="auto"/>
                <w:szCs w:val="21"/>
              </w:rPr>
            </w:pPr>
          </w:p>
        </w:tc>
      </w:tr>
      <w:tr w14:paraId="02E68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ign w:val="center"/>
          </w:tcPr>
          <w:p w14:paraId="3C2521DE">
            <w:pPr>
              <w:adjustRightInd w:val="0"/>
              <w:snapToGrid w:val="0"/>
              <w:spacing w:before="50" w:line="360" w:lineRule="auto"/>
              <w:ind w:left="-88" w:leftChars="-42"/>
              <w:jc w:val="center"/>
              <w:rPr>
                <w:rFonts w:ascii="宋体" w:hAnsi="宋体"/>
                <w:color w:val="auto"/>
                <w:szCs w:val="21"/>
              </w:rPr>
            </w:pPr>
          </w:p>
        </w:tc>
        <w:tc>
          <w:tcPr>
            <w:tcW w:w="2410" w:type="dxa"/>
            <w:noWrap/>
            <w:vAlign w:val="center"/>
          </w:tcPr>
          <w:p w14:paraId="0483E19A">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ign w:val="center"/>
          </w:tcPr>
          <w:p w14:paraId="2D1FDB73">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noWrap/>
            <w:vAlign w:val="center"/>
          </w:tcPr>
          <w:p w14:paraId="7E896F2B">
            <w:pPr>
              <w:adjustRightInd w:val="0"/>
              <w:snapToGrid w:val="0"/>
              <w:spacing w:before="50" w:line="360" w:lineRule="auto"/>
              <w:ind w:left="-88" w:leftChars="-42"/>
              <w:jc w:val="center"/>
              <w:rPr>
                <w:rFonts w:ascii="宋体" w:hAnsi="宋体"/>
                <w:color w:val="auto"/>
                <w:szCs w:val="21"/>
              </w:rPr>
            </w:pPr>
          </w:p>
        </w:tc>
        <w:tc>
          <w:tcPr>
            <w:tcW w:w="1756" w:type="dxa"/>
            <w:noWrap/>
            <w:vAlign w:val="center"/>
          </w:tcPr>
          <w:p w14:paraId="44FA833A">
            <w:pPr>
              <w:adjustRightInd w:val="0"/>
              <w:snapToGrid w:val="0"/>
              <w:spacing w:before="50" w:line="360" w:lineRule="auto"/>
              <w:ind w:left="-88" w:leftChars="-42"/>
              <w:jc w:val="center"/>
              <w:rPr>
                <w:rFonts w:ascii="宋体" w:hAnsi="宋体"/>
                <w:color w:val="auto"/>
                <w:szCs w:val="21"/>
              </w:rPr>
            </w:pPr>
          </w:p>
        </w:tc>
      </w:tr>
      <w:tr w14:paraId="64824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ign w:val="center"/>
          </w:tcPr>
          <w:p w14:paraId="34C04F3E">
            <w:pPr>
              <w:adjustRightInd w:val="0"/>
              <w:snapToGrid w:val="0"/>
              <w:spacing w:before="50" w:line="360" w:lineRule="auto"/>
              <w:ind w:left="-88" w:leftChars="-42"/>
              <w:jc w:val="center"/>
              <w:rPr>
                <w:rFonts w:ascii="宋体" w:hAnsi="宋体"/>
                <w:color w:val="auto"/>
                <w:szCs w:val="21"/>
              </w:rPr>
            </w:pPr>
          </w:p>
        </w:tc>
        <w:tc>
          <w:tcPr>
            <w:tcW w:w="2410" w:type="dxa"/>
            <w:noWrap/>
            <w:vAlign w:val="center"/>
          </w:tcPr>
          <w:p w14:paraId="37F7763A">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ign w:val="center"/>
          </w:tcPr>
          <w:p w14:paraId="19D457BF">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noWrap/>
            <w:vAlign w:val="center"/>
          </w:tcPr>
          <w:p w14:paraId="445043D7">
            <w:pPr>
              <w:adjustRightInd w:val="0"/>
              <w:snapToGrid w:val="0"/>
              <w:spacing w:before="50" w:line="360" w:lineRule="auto"/>
              <w:ind w:left="-88" w:leftChars="-42"/>
              <w:jc w:val="center"/>
              <w:rPr>
                <w:rFonts w:ascii="宋体" w:hAnsi="宋体"/>
                <w:color w:val="auto"/>
                <w:szCs w:val="21"/>
              </w:rPr>
            </w:pPr>
          </w:p>
        </w:tc>
        <w:tc>
          <w:tcPr>
            <w:tcW w:w="1756" w:type="dxa"/>
            <w:noWrap/>
            <w:vAlign w:val="center"/>
          </w:tcPr>
          <w:p w14:paraId="726786AF">
            <w:pPr>
              <w:adjustRightInd w:val="0"/>
              <w:snapToGrid w:val="0"/>
              <w:spacing w:before="50" w:line="360" w:lineRule="auto"/>
              <w:ind w:left="-88" w:leftChars="-42"/>
              <w:jc w:val="center"/>
              <w:rPr>
                <w:rFonts w:ascii="宋体" w:hAnsi="宋体"/>
                <w:color w:val="auto"/>
                <w:szCs w:val="21"/>
              </w:rPr>
            </w:pPr>
          </w:p>
        </w:tc>
      </w:tr>
      <w:tr w14:paraId="2CC54D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ign w:val="center"/>
          </w:tcPr>
          <w:p w14:paraId="5A613B2D">
            <w:pPr>
              <w:adjustRightInd w:val="0"/>
              <w:snapToGrid w:val="0"/>
              <w:spacing w:before="50" w:line="360" w:lineRule="auto"/>
              <w:ind w:left="-88" w:leftChars="-42"/>
              <w:jc w:val="center"/>
              <w:rPr>
                <w:rFonts w:ascii="宋体" w:hAnsi="宋体"/>
                <w:color w:val="auto"/>
                <w:szCs w:val="21"/>
              </w:rPr>
            </w:pPr>
          </w:p>
        </w:tc>
        <w:tc>
          <w:tcPr>
            <w:tcW w:w="2410" w:type="dxa"/>
            <w:noWrap/>
            <w:vAlign w:val="center"/>
          </w:tcPr>
          <w:p w14:paraId="4F6408FD">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ign w:val="center"/>
          </w:tcPr>
          <w:p w14:paraId="264298D9">
            <w:pPr>
              <w:adjustRightInd w:val="0"/>
              <w:snapToGrid w:val="0"/>
              <w:spacing w:before="50" w:line="360" w:lineRule="auto"/>
              <w:ind w:left="-88" w:leftChars="-42"/>
              <w:jc w:val="center"/>
              <w:rPr>
                <w:rFonts w:ascii="宋体" w:hAnsi="宋体"/>
                <w:color w:val="auto"/>
                <w:szCs w:val="21"/>
              </w:rPr>
            </w:pPr>
          </w:p>
        </w:tc>
        <w:tc>
          <w:tcPr>
            <w:tcW w:w="3882" w:type="dxa"/>
            <w:gridSpan w:val="2"/>
            <w:tcBorders>
              <w:left w:val="single" w:color="auto" w:sz="4" w:space="0"/>
            </w:tcBorders>
            <w:noWrap/>
            <w:vAlign w:val="center"/>
          </w:tcPr>
          <w:p w14:paraId="73C76E00">
            <w:pPr>
              <w:adjustRightInd w:val="0"/>
              <w:snapToGrid w:val="0"/>
              <w:spacing w:before="50" w:line="360" w:lineRule="auto"/>
              <w:ind w:firstLine="422" w:firstLineChars="200"/>
              <w:rPr>
                <w:rFonts w:ascii="宋体" w:hAnsi="宋体"/>
                <w:color w:val="auto"/>
                <w:szCs w:val="21"/>
              </w:rPr>
            </w:pPr>
            <w:r>
              <w:rPr>
                <w:rFonts w:hint="eastAsia" w:ascii="宋体" w:hAnsi="宋体"/>
                <w:b/>
                <w:color w:val="auto"/>
                <w:szCs w:val="21"/>
              </w:rPr>
              <w:t>投标人保证：除本采购需求偏离表列出的偏离外，我单位对招标文件的其他采购需求条款完全响应，无偏离。</w:t>
            </w:r>
          </w:p>
        </w:tc>
      </w:tr>
    </w:tbl>
    <w:p w14:paraId="6AADC2A1">
      <w:pPr>
        <w:adjustRightInd w:val="0"/>
        <w:snapToGrid w:val="0"/>
        <w:spacing w:before="50" w:line="360" w:lineRule="auto"/>
        <w:ind w:left="-88" w:leftChars="-42"/>
        <w:rPr>
          <w:rFonts w:ascii="宋体" w:hAnsi="宋体"/>
          <w:color w:val="auto"/>
          <w:szCs w:val="21"/>
        </w:rPr>
      </w:pPr>
      <w:r>
        <w:rPr>
          <w:rFonts w:hint="eastAsia" w:ascii="宋体" w:hAnsi="宋体"/>
          <w:bCs/>
          <w:color w:val="auto"/>
          <w:szCs w:val="21"/>
        </w:rPr>
        <w:t>注：</w:t>
      </w:r>
      <w:r>
        <w:rPr>
          <w:rFonts w:hint="eastAsia" w:ascii="宋体" w:hAnsi="宋体"/>
          <w:color w:val="auto"/>
          <w:szCs w:val="21"/>
        </w:rPr>
        <w:t>1.投标人应根据招标文件第五章“采购需求”填写本表；</w:t>
      </w:r>
    </w:p>
    <w:p w14:paraId="32DE1C81">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投标人如果对招标文件第五章“采购需求”的响应有偏离，应将偏离条款逐条如实应答，并作出说明；</w:t>
      </w:r>
    </w:p>
    <w:p w14:paraId="45A0C1B1">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3.如不提供此表，则视为投标人不满足招标文件第五章的所有条款要求，其</w:t>
      </w:r>
      <w:r>
        <w:rPr>
          <w:rFonts w:hint="eastAsia" w:ascii="宋体" w:hAnsi="宋体"/>
          <w:b/>
          <w:color w:val="auto"/>
          <w:szCs w:val="21"/>
        </w:rPr>
        <w:t>投标无效</w:t>
      </w:r>
      <w:r>
        <w:rPr>
          <w:rFonts w:hint="eastAsia" w:ascii="宋体" w:hAnsi="宋体"/>
          <w:color w:val="auto"/>
          <w:szCs w:val="21"/>
        </w:rPr>
        <w:t>。</w:t>
      </w:r>
    </w:p>
    <w:p w14:paraId="5447D771">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4.在采购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3326BB29">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5.本表偏离表与本章第六节“采购需求响应”不一致时，以“采购需求响应”为准。</w:t>
      </w:r>
    </w:p>
    <w:p w14:paraId="1DBC7378">
      <w:pPr>
        <w:adjustRightInd w:val="0"/>
        <w:snapToGrid w:val="0"/>
        <w:spacing w:before="50" w:line="360" w:lineRule="auto"/>
        <w:rPr>
          <w:rFonts w:ascii="宋体" w:hAnsi="宋体"/>
          <w:color w:val="auto"/>
          <w:szCs w:val="21"/>
        </w:rPr>
      </w:pPr>
    </w:p>
    <w:p w14:paraId="617F7EF8">
      <w:pPr>
        <w:adjustRightInd w:val="0"/>
        <w:snapToGrid w:val="0"/>
        <w:spacing w:before="50" w:line="360" w:lineRule="auto"/>
        <w:rPr>
          <w:rFonts w:ascii="宋体" w:hAnsi="宋体"/>
          <w:color w:val="auto"/>
          <w:szCs w:val="21"/>
        </w:rPr>
      </w:pPr>
    </w:p>
    <w:p w14:paraId="119CCE78">
      <w:pPr>
        <w:adjustRightInd w:val="0"/>
        <w:snapToGrid w:val="0"/>
        <w:spacing w:before="50" w:line="360" w:lineRule="auto"/>
        <w:rPr>
          <w:rFonts w:ascii="宋体" w:hAnsi="宋体"/>
          <w:color w:val="auto"/>
          <w:szCs w:val="21"/>
        </w:rPr>
      </w:pPr>
      <w:r>
        <w:rPr>
          <w:rFonts w:hint="eastAsia" w:ascii="宋体" w:hAnsi="宋体"/>
          <w:color w:val="auto"/>
          <w:szCs w:val="21"/>
        </w:rPr>
        <w:t>投标人名称（盖单位章）：</w:t>
      </w:r>
    </w:p>
    <w:p w14:paraId="6D8492B6">
      <w:pPr>
        <w:adjustRightInd w:val="0"/>
        <w:snapToGrid w:val="0"/>
        <w:spacing w:before="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4F384324">
      <w:pPr>
        <w:adjustRightInd w:val="0"/>
        <w:snapToGrid w:val="0"/>
        <w:spacing w:before="50" w:line="360" w:lineRule="auto"/>
        <w:rPr>
          <w:rFonts w:ascii="宋体" w:hAnsi="宋体"/>
          <w:color w:val="auto"/>
          <w:szCs w:val="21"/>
        </w:rPr>
        <w:sectPr>
          <w:pgSz w:w="11906" w:h="16838"/>
          <w:pgMar w:top="1474" w:right="1474" w:bottom="1474" w:left="1474" w:header="851" w:footer="992" w:gutter="0"/>
          <w:cols w:space="720" w:num="1"/>
          <w:docGrid w:type="lines" w:linePitch="312" w:charSpace="0"/>
        </w:sect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p>
    <w:p w14:paraId="2465359D">
      <w:pPr>
        <w:adjustRightInd w:val="0"/>
        <w:snapToGrid w:val="0"/>
        <w:spacing w:afterLines="50" w:line="192" w:lineRule="auto"/>
        <w:rPr>
          <w:rFonts w:ascii="黑体" w:hAnsi="宋体" w:eastAsia="黑体"/>
          <w:color w:val="auto"/>
          <w:szCs w:val="21"/>
        </w:rPr>
      </w:pPr>
    </w:p>
    <w:p w14:paraId="7C4F7196">
      <w:pPr>
        <w:pStyle w:val="14"/>
        <w:adjustRightInd w:val="0"/>
        <w:snapToGrid w:val="0"/>
        <w:spacing w:before="0" w:after="0" w:line="360" w:lineRule="auto"/>
        <w:jc w:val="center"/>
        <w:rPr>
          <w:rFonts w:ascii="黑体" w:hAnsi="宋体" w:eastAsia="黑体"/>
          <w:color w:val="auto"/>
          <w:sz w:val="28"/>
          <w:szCs w:val="28"/>
        </w:rPr>
      </w:pPr>
      <w:bookmarkStart w:id="100" w:name="_Toc22806"/>
      <w:r>
        <w:rPr>
          <w:rFonts w:hint="eastAsia" w:ascii="黑体" w:hAnsi="宋体" w:eastAsia="黑体"/>
          <w:color w:val="auto"/>
          <w:sz w:val="28"/>
          <w:szCs w:val="28"/>
        </w:rPr>
        <w:t>八、招标文件规定的证明文件</w:t>
      </w:r>
      <w:bookmarkEnd w:id="100"/>
    </w:p>
    <w:p w14:paraId="53EA22D9">
      <w:pPr>
        <w:adjustRightInd w:val="0"/>
        <w:snapToGrid w:val="0"/>
        <w:spacing w:line="360" w:lineRule="auto"/>
        <w:rPr>
          <w:rFonts w:ascii="宋体" w:hAnsi="宋体"/>
          <w:color w:val="auto"/>
          <w:szCs w:val="21"/>
        </w:rPr>
      </w:pPr>
    </w:p>
    <w:p w14:paraId="6617610F">
      <w:pPr>
        <w:adjustRightInd w:val="0"/>
        <w:snapToGrid w:val="0"/>
        <w:spacing w:line="360" w:lineRule="auto"/>
        <w:rPr>
          <w:rFonts w:ascii="宋体" w:hAnsi="宋体"/>
          <w:color w:val="auto"/>
        </w:rPr>
      </w:pPr>
      <w:r>
        <w:rPr>
          <w:rFonts w:hint="eastAsia" w:ascii="宋体" w:hAnsi="宋体"/>
          <w:color w:val="auto"/>
          <w:szCs w:val="21"/>
        </w:rPr>
        <w:t>注：提供招标文件中规定的证明材料复印件，及评分办法中要求提供的证明文件。</w:t>
      </w:r>
    </w:p>
    <w:p w14:paraId="5740B1C3">
      <w:pPr>
        <w:widowControl/>
        <w:jc w:val="left"/>
        <w:rPr>
          <w:rFonts w:ascii="黑体" w:eastAsia="黑体"/>
          <w:color w:val="auto"/>
          <w:sz w:val="10"/>
          <w:szCs w:val="10"/>
        </w:rPr>
      </w:pPr>
      <w:r>
        <w:rPr>
          <w:rFonts w:ascii="黑体" w:eastAsia="黑体"/>
          <w:b/>
          <w:bCs/>
          <w:color w:val="auto"/>
          <w:sz w:val="28"/>
          <w:szCs w:val="28"/>
        </w:rPr>
        <w:br w:type="page"/>
      </w:r>
    </w:p>
    <w:p w14:paraId="73F8D5B3">
      <w:pPr>
        <w:pStyle w:val="14"/>
        <w:adjustRightInd w:val="0"/>
        <w:snapToGrid w:val="0"/>
        <w:spacing w:before="0" w:after="0" w:line="360" w:lineRule="auto"/>
        <w:jc w:val="center"/>
        <w:rPr>
          <w:rFonts w:ascii="黑体" w:hAnsi="宋体" w:eastAsia="黑体"/>
          <w:color w:val="auto"/>
          <w:sz w:val="28"/>
          <w:szCs w:val="28"/>
        </w:rPr>
      </w:pPr>
      <w:bookmarkStart w:id="101" w:name="_Toc20609"/>
      <w:r>
        <w:rPr>
          <w:rFonts w:hint="eastAsia" w:ascii="黑体" w:hAnsi="宋体" w:eastAsia="黑体"/>
          <w:color w:val="auto"/>
          <w:sz w:val="28"/>
          <w:szCs w:val="28"/>
        </w:rPr>
        <w:t>九、投标人认为需提供的其他资料</w:t>
      </w:r>
      <w:bookmarkEnd w:id="101"/>
    </w:p>
    <w:p w14:paraId="120C8ACE">
      <w:pPr>
        <w:adjustRightInd w:val="0"/>
        <w:snapToGrid w:val="0"/>
        <w:spacing w:beforeLines="50" w:line="360" w:lineRule="auto"/>
        <w:rPr>
          <w:rFonts w:ascii="宋体" w:hAnsi="宋体"/>
          <w:color w:val="auto"/>
        </w:rPr>
      </w:pPr>
    </w:p>
    <w:p w14:paraId="71AB2FC9">
      <w:pPr>
        <w:adjustRightInd w:val="0"/>
        <w:snapToGrid w:val="0"/>
        <w:spacing w:beforeLines="50" w:line="360" w:lineRule="auto"/>
        <w:rPr>
          <w:rFonts w:ascii="宋体" w:hAnsi="宋体"/>
          <w:color w:val="auto"/>
        </w:rPr>
      </w:pPr>
      <w:r>
        <w:rPr>
          <w:rFonts w:hint="eastAsia" w:ascii="宋体" w:hAnsi="宋体"/>
          <w:color w:val="auto"/>
        </w:rPr>
        <w:t>注：投标人认为需提供的其他资料包括：</w:t>
      </w:r>
    </w:p>
    <w:p w14:paraId="1A537102">
      <w:pPr>
        <w:adjustRightInd w:val="0"/>
        <w:snapToGrid w:val="0"/>
        <w:spacing w:beforeLines="50" w:line="360" w:lineRule="auto"/>
        <w:ind w:firstLine="420" w:firstLineChars="200"/>
        <w:rPr>
          <w:rFonts w:ascii="宋体" w:hAnsi="宋体"/>
          <w:color w:val="auto"/>
        </w:rPr>
      </w:pPr>
      <w:r>
        <w:rPr>
          <w:rFonts w:hint="eastAsia" w:ascii="宋体" w:hAnsi="宋体"/>
          <w:color w:val="auto"/>
        </w:rPr>
        <w:t>1.招标文件中要求的其他资料。</w:t>
      </w:r>
    </w:p>
    <w:p w14:paraId="09ED554E">
      <w:pPr>
        <w:adjustRightInd w:val="0"/>
        <w:snapToGrid w:val="0"/>
        <w:spacing w:beforeLines="50" w:line="360" w:lineRule="auto"/>
        <w:rPr>
          <w:rFonts w:ascii="宋体" w:hAnsi="宋体"/>
          <w:color w:val="auto"/>
        </w:rPr>
      </w:pPr>
      <w:r>
        <w:rPr>
          <w:rFonts w:hint="eastAsia" w:ascii="宋体" w:hAnsi="宋体"/>
          <w:color w:val="auto"/>
        </w:rPr>
        <w:t xml:space="preserve">   </w:t>
      </w:r>
    </w:p>
    <w:p w14:paraId="1E90A901">
      <w:pPr>
        <w:rPr>
          <w:color w:val="auto"/>
        </w:rPr>
      </w:pPr>
    </w:p>
    <w:p w14:paraId="1237B617">
      <w:pPr>
        <w:widowControl/>
        <w:jc w:val="left"/>
        <w:rPr>
          <w:color w:val="auto"/>
        </w:rPr>
      </w:pPr>
    </w:p>
    <w:p w14:paraId="6427FECA">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84686">
    <w:pPr>
      <w:pStyle w:val="22"/>
      <w:ind w:left="180" w:right="359" w:rightChars="171" w:hanging="180" w:hangingChars="100"/>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116B8E">
                          <w:pPr>
                            <w:pStyle w:val="22"/>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4116B8E">
                    <w:pPr>
                      <w:pStyle w:val="2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DEE3">
    <w:pPr>
      <w:pStyle w:val="2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687386">
                          <w:pPr>
                            <w:pStyle w:val="22"/>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05687386">
                    <w:pPr>
                      <w:pStyle w:val="2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9FBA">
    <w:pPr>
      <w:pStyle w:val="22"/>
      <w:framePr w:wrap="around" w:vAnchor="text" w:hAnchor="margin" w:xAlign="right" w:y="1"/>
      <w:rPr>
        <w:rStyle w:val="34"/>
      </w:rPr>
    </w:pPr>
    <w:r>
      <w:fldChar w:fldCharType="begin"/>
    </w:r>
    <w:r>
      <w:rPr>
        <w:rStyle w:val="34"/>
      </w:rPr>
      <w:instrText xml:space="preserve">PAGE  </w:instrText>
    </w:r>
    <w:r>
      <w:fldChar w:fldCharType="end"/>
    </w:r>
  </w:p>
  <w:p w14:paraId="11D2BD18">
    <w:pPr>
      <w:pStyle w:val="2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C990">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80A69">
    <w:pPr>
      <w:pStyle w:val="22"/>
      <w:ind w:left="180" w:right="359" w:rightChars="171" w:hanging="180" w:hangingChars="100"/>
      <w:rPr>
        <w:rFonts w:eastAsia="楷体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210C12">
                          <w:pPr>
                            <w:pStyle w:val="22"/>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3210C12">
                    <w:pPr>
                      <w:pStyle w:val="2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9236">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EEC4">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A4FB">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5A42">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23C15">
    <w:pPr>
      <w:pStyle w:val="2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5B9F">
    <w:pPr>
      <w:pStyle w:val="2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FF69A">
    <w:pPr>
      <w:pStyle w:val="2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7CB3">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D1689"/>
    <w:multiLevelType w:val="singleLevel"/>
    <w:tmpl w:val="8ABD1689"/>
    <w:lvl w:ilvl="0" w:tentative="0">
      <w:start w:val="1"/>
      <w:numFmt w:val="chineseCounting"/>
      <w:suff w:val="nothing"/>
      <w:lvlText w:val="%1、"/>
      <w:lvlJc w:val="left"/>
      <w:rPr>
        <w:rFonts w:hint="eastAsia"/>
      </w:rPr>
    </w:lvl>
  </w:abstractNum>
  <w:abstractNum w:abstractNumId="1">
    <w:nsid w:val="D81DC84D"/>
    <w:multiLevelType w:val="singleLevel"/>
    <w:tmpl w:val="D81DC84D"/>
    <w:lvl w:ilvl="0" w:tentative="0">
      <w:start w:val="6"/>
      <w:numFmt w:val="decimal"/>
      <w:suff w:val="nothing"/>
      <w:lvlText w:val="%1、"/>
      <w:lvlJc w:val="left"/>
    </w:lvl>
  </w:abstractNum>
  <w:abstractNum w:abstractNumId="2">
    <w:nsid w:val="E0E7D641"/>
    <w:multiLevelType w:val="singleLevel"/>
    <w:tmpl w:val="E0E7D641"/>
    <w:lvl w:ilvl="0" w:tentative="0">
      <w:start w:val="1"/>
      <w:numFmt w:val="decimal"/>
      <w:suff w:val="nothing"/>
      <w:lvlText w:val="%1、"/>
      <w:lvlJc w:val="left"/>
    </w:lvl>
  </w:abstractNum>
  <w:abstractNum w:abstractNumId="3">
    <w:nsid w:val="087B1468"/>
    <w:multiLevelType w:val="singleLevel"/>
    <w:tmpl w:val="087B1468"/>
    <w:lvl w:ilvl="0" w:tentative="0">
      <w:start w:val="4"/>
      <w:numFmt w:val="decimal"/>
      <w:suff w:val="space"/>
      <w:lvlText w:val="%1."/>
      <w:lvlJc w:val="left"/>
    </w:lvl>
  </w:abstractNum>
  <w:abstractNum w:abstractNumId="4">
    <w:nsid w:val="49CBC735"/>
    <w:multiLevelType w:val="singleLevel"/>
    <w:tmpl w:val="49CBC735"/>
    <w:lvl w:ilvl="0" w:tentative="0">
      <w:start w:val="4"/>
      <w:numFmt w:val="chineseCounting"/>
      <w:suff w:val="nothing"/>
      <w:lvlText w:val="%1、"/>
      <w:lvlJc w:val="left"/>
      <w:pPr>
        <w:tabs>
          <w:tab w:val="left" w:pos="0"/>
        </w:tabs>
        <w:ind w:left="-2"/>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NDk1ZjY5Zjk0OWQwMzE0Y2ExOTQwMDNhMzY3ZjEifQ=="/>
    <w:docVar w:name="KSO_WPS_MARK_KEY" w:val="fb49caf7-6983-41b4-88d2-52a2a9fc0517"/>
  </w:docVars>
  <w:rsids>
    <w:rsidRoot w:val="007B7311"/>
    <w:rsid w:val="004A38F5"/>
    <w:rsid w:val="006027F1"/>
    <w:rsid w:val="00613C85"/>
    <w:rsid w:val="007B7311"/>
    <w:rsid w:val="00AE0B5C"/>
    <w:rsid w:val="00C8342B"/>
    <w:rsid w:val="00C838BD"/>
    <w:rsid w:val="00D533B4"/>
    <w:rsid w:val="00E351A0"/>
    <w:rsid w:val="00E37DED"/>
    <w:rsid w:val="00E54E86"/>
    <w:rsid w:val="02777BFD"/>
    <w:rsid w:val="02875318"/>
    <w:rsid w:val="028A3101"/>
    <w:rsid w:val="02A72F4F"/>
    <w:rsid w:val="02E24306"/>
    <w:rsid w:val="037E23B6"/>
    <w:rsid w:val="03802AE2"/>
    <w:rsid w:val="03A374C7"/>
    <w:rsid w:val="041C2A8F"/>
    <w:rsid w:val="046441B2"/>
    <w:rsid w:val="04A9786D"/>
    <w:rsid w:val="05052F62"/>
    <w:rsid w:val="056A57F8"/>
    <w:rsid w:val="05D02FA3"/>
    <w:rsid w:val="05EE32CE"/>
    <w:rsid w:val="06A93F85"/>
    <w:rsid w:val="07014A01"/>
    <w:rsid w:val="070457D8"/>
    <w:rsid w:val="078739F3"/>
    <w:rsid w:val="079C1EB4"/>
    <w:rsid w:val="07DE468D"/>
    <w:rsid w:val="08AA0601"/>
    <w:rsid w:val="08EF7874"/>
    <w:rsid w:val="09291D37"/>
    <w:rsid w:val="09990B7C"/>
    <w:rsid w:val="09B10949"/>
    <w:rsid w:val="0A7E6047"/>
    <w:rsid w:val="0B2039F9"/>
    <w:rsid w:val="0BE04A65"/>
    <w:rsid w:val="0CD81BE1"/>
    <w:rsid w:val="0D3D1A44"/>
    <w:rsid w:val="0D4B2D86"/>
    <w:rsid w:val="0D790B80"/>
    <w:rsid w:val="0F47147D"/>
    <w:rsid w:val="0F62101D"/>
    <w:rsid w:val="122356AC"/>
    <w:rsid w:val="12901D6E"/>
    <w:rsid w:val="129A4C40"/>
    <w:rsid w:val="129B1039"/>
    <w:rsid w:val="13935326"/>
    <w:rsid w:val="13F33034"/>
    <w:rsid w:val="14131750"/>
    <w:rsid w:val="164F1596"/>
    <w:rsid w:val="176C1552"/>
    <w:rsid w:val="18126980"/>
    <w:rsid w:val="1845247C"/>
    <w:rsid w:val="18D61636"/>
    <w:rsid w:val="190F76A7"/>
    <w:rsid w:val="193C1B83"/>
    <w:rsid w:val="199F751A"/>
    <w:rsid w:val="1ACD08AB"/>
    <w:rsid w:val="1B2E6E0A"/>
    <w:rsid w:val="1B843622"/>
    <w:rsid w:val="1BD76757"/>
    <w:rsid w:val="1C964DDA"/>
    <w:rsid w:val="1CC64FB7"/>
    <w:rsid w:val="1CEC6CD0"/>
    <w:rsid w:val="1D8C1DF0"/>
    <w:rsid w:val="1E214A6A"/>
    <w:rsid w:val="1F065DFC"/>
    <w:rsid w:val="1FFC753C"/>
    <w:rsid w:val="202D10CE"/>
    <w:rsid w:val="204B57BC"/>
    <w:rsid w:val="218510F2"/>
    <w:rsid w:val="218D48F0"/>
    <w:rsid w:val="21AA6E76"/>
    <w:rsid w:val="22E76282"/>
    <w:rsid w:val="22F17100"/>
    <w:rsid w:val="23115054"/>
    <w:rsid w:val="23467E93"/>
    <w:rsid w:val="234C23A9"/>
    <w:rsid w:val="23A02F86"/>
    <w:rsid w:val="244119C2"/>
    <w:rsid w:val="24822405"/>
    <w:rsid w:val="24957B8F"/>
    <w:rsid w:val="24BE1264"/>
    <w:rsid w:val="24C20D54"/>
    <w:rsid w:val="265C4F57"/>
    <w:rsid w:val="26DB7824"/>
    <w:rsid w:val="281752F4"/>
    <w:rsid w:val="28976054"/>
    <w:rsid w:val="28FC30EE"/>
    <w:rsid w:val="295274B5"/>
    <w:rsid w:val="2A211C97"/>
    <w:rsid w:val="2A697705"/>
    <w:rsid w:val="2A71367D"/>
    <w:rsid w:val="2A9B7392"/>
    <w:rsid w:val="2AAC6D47"/>
    <w:rsid w:val="2BA74800"/>
    <w:rsid w:val="2BE30043"/>
    <w:rsid w:val="2C28298A"/>
    <w:rsid w:val="2C4E1F9C"/>
    <w:rsid w:val="2CCB4621"/>
    <w:rsid w:val="2CE101E6"/>
    <w:rsid w:val="2DC55411"/>
    <w:rsid w:val="2E57564D"/>
    <w:rsid w:val="2EB168C3"/>
    <w:rsid w:val="2F000DF7"/>
    <w:rsid w:val="2F034443"/>
    <w:rsid w:val="2F1E19DF"/>
    <w:rsid w:val="2F255896"/>
    <w:rsid w:val="2FA07EE4"/>
    <w:rsid w:val="30197C97"/>
    <w:rsid w:val="30C47C0F"/>
    <w:rsid w:val="3193735B"/>
    <w:rsid w:val="321B2412"/>
    <w:rsid w:val="32684FF1"/>
    <w:rsid w:val="3287431C"/>
    <w:rsid w:val="32A7158A"/>
    <w:rsid w:val="32C160DE"/>
    <w:rsid w:val="32ED664A"/>
    <w:rsid w:val="33B25423"/>
    <w:rsid w:val="34963664"/>
    <w:rsid w:val="35371786"/>
    <w:rsid w:val="35831E3A"/>
    <w:rsid w:val="35BA7826"/>
    <w:rsid w:val="35C33C89"/>
    <w:rsid w:val="361707D4"/>
    <w:rsid w:val="36321AB2"/>
    <w:rsid w:val="3647730B"/>
    <w:rsid w:val="364C4922"/>
    <w:rsid w:val="375A6BCB"/>
    <w:rsid w:val="37FA3BF5"/>
    <w:rsid w:val="38042FDA"/>
    <w:rsid w:val="38184EE4"/>
    <w:rsid w:val="38563836"/>
    <w:rsid w:val="38806B05"/>
    <w:rsid w:val="38E0408D"/>
    <w:rsid w:val="38E2156D"/>
    <w:rsid w:val="3938118D"/>
    <w:rsid w:val="3947398A"/>
    <w:rsid w:val="395F1B47"/>
    <w:rsid w:val="39B206A6"/>
    <w:rsid w:val="39BD4490"/>
    <w:rsid w:val="39E906DA"/>
    <w:rsid w:val="39E95011"/>
    <w:rsid w:val="3A1439A9"/>
    <w:rsid w:val="3B805BA6"/>
    <w:rsid w:val="3BC60CD2"/>
    <w:rsid w:val="3C3D6577"/>
    <w:rsid w:val="3C6B1A5A"/>
    <w:rsid w:val="3C865009"/>
    <w:rsid w:val="3C97266F"/>
    <w:rsid w:val="3C9F54F5"/>
    <w:rsid w:val="3CE96355"/>
    <w:rsid w:val="3CFF19BD"/>
    <w:rsid w:val="3D7A7FC6"/>
    <w:rsid w:val="3DB358B8"/>
    <w:rsid w:val="3DBB765C"/>
    <w:rsid w:val="3DFE00AC"/>
    <w:rsid w:val="3E1A6989"/>
    <w:rsid w:val="3ECB4852"/>
    <w:rsid w:val="40686461"/>
    <w:rsid w:val="407056B1"/>
    <w:rsid w:val="40864ED4"/>
    <w:rsid w:val="417F67D0"/>
    <w:rsid w:val="41EC0D67"/>
    <w:rsid w:val="42022884"/>
    <w:rsid w:val="42523FFF"/>
    <w:rsid w:val="427566DA"/>
    <w:rsid w:val="427D3F84"/>
    <w:rsid w:val="42DE2DA6"/>
    <w:rsid w:val="430976F7"/>
    <w:rsid w:val="447E423C"/>
    <w:rsid w:val="44CA5AB0"/>
    <w:rsid w:val="458E3A6E"/>
    <w:rsid w:val="461D3F03"/>
    <w:rsid w:val="46E4281F"/>
    <w:rsid w:val="46F54B02"/>
    <w:rsid w:val="479579BF"/>
    <w:rsid w:val="47D9558F"/>
    <w:rsid w:val="47E0311C"/>
    <w:rsid w:val="48426667"/>
    <w:rsid w:val="48AB372A"/>
    <w:rsid w:val="48BF71D5"/>
    <w:rsid w:val="49117305"/>
    <w:rsid w:val="495A6EFE"/>
    <w:rsid w:val="49780684"/>
    <w:rsid w:val="49815E13"/>
    <w:rsid w:val="49F83516"/>
    <w:rsid w:val="4A8723E4"/>
    <w:rsid w:val="4B1F3F5B"/>
    <w:rsid w:val="4B2F5BE7"/>
    <w:rsid w:val="4B4D6D1A"/>
    <w:rsid w:val="4B935AED"/>
    <w:rsid w:val="4CCB30D2"/>
    <w:rsid w:val="4DAB0C60"/>
    <w:rsid w:val="4DC67D78"/>
    <w:rsid w:val="4E42634F"/>
    <w:rsid w:val="4ED85617"/>
    <w:rsid w:val="500B4FFF"/>
    <w:rsid w:val="50E21CB3"/>
    <w:rsid w:val="514A7858"/>
    <w:rsid w:val="518C20FE"/>
    <w:rsid w:val="51992F95"/>
    <w:rsid w:val="52B6200C"/>
    <w:rsid w:val="53033605"/>
    <w:rsid w:val="53096011"/>
    <w:rsid w:val="530E5635"/>
    <w:rsid w:val="532A054E"/>
    <w:rsid w:val="53700A53"/>
    <w:rsid w:val="53953DA9"/>
    <w:rsid w:val="53A771E4"/>
    <w:rsid w:val="543E18F6"/>
    <w:rsid w:val="54C65554"/>
    <w:rsid w:val="54D46383"/>
    <w:rsid w:val="554F3A03"/>
    <w:rsid w:val="55546EF7"/>
    <w:rsid w:val="558F7F2F"/>
    <w:rsid w:val="5595257F"/>
    <w:rsid w:val="56582A17"/>
    <w:rsid w:val="56694C24"/>
    <w:rsid w:val="56AD4B11"/>
    <w:rsid w:val="56BE6DB9"/>
    <w:rsid w:val="56DF2662"/>
    <w:rsid w:val="56DF5C19"/>
    <w:rsid w:val="57551FAE"/>
    <w:rsid w:val="57CF0AB7"/>
    <w:rsid w:val="58852E3A"/>
    <w:rsid w:val="5962091D"/>
    <w:rsid w:val="59945B14"/>
    <w:rsid w:val="59A65848"/>
    <w:rsid w:val="5A151E24"/>
    <w:rsid w:val="5A2A47F4"/>
    <w:rsid w:val="5A5F25C6"/>
    <w:rsid w:val="5AA77AC9"/>
    <w:rsid w:val="5B662805"/>
    <w:rsid w:val="5BE55498"/>
    <w:rsid w:val="5C0F23CD"/>
    <w:rsid w:val="5C164F06"/>
    <w:rsid w:val="5C2C0286"/>
    <w:rsid w:val="5D704AEA"/>
    <w:rsid w:val="5D9A7640"/>
    <w:rsid w:val="5E3552D9"/>
    <w:rsid w:val="60867160"/>
    <w:rsid w:val="60B371C8"/>
    <w:rsid w:val="60E92BEA"/>
    <w:rsid w:val="61FC4B9F"/>
    <w:rsid w:val="61FC694D"/>
    <w:rsid w:val="62F61E2A"/>
    <w:rsid w:val="62FB7087"/>
    <w:rsid w:val="63D77671"/>
    <w:rsid w:val="64177AD5"/>
    <w:rsid w:val="65236977"/>
    <w:rsid w:val="656349CE"/>
    <w:rsid w:val="65A142A1"/>
    <w:rsid w:val="660042F3"/>
    <w:rsid w:val="671A2D24"/>
    <w:rsid w:val="67602476"/>
    <w:rsid w:val="6764746E"/>
    <w:rsid w:val="6A4B3817"/>
    <w:rsid w:val="6AB26742"/>
    <w:rsid w:val="6BA44E0E"/>
    <w:rsid w:val="6BBF1117"/>
    <w:rsid w:val="6C1968D7"/>
    <w:rsid w:val="6C20303D"/>
    <w:rsid w:val="6C9604A5"/>
    <w:rsid w:val="6D45389E"/>
    <w:rsid w:val="6EF55AB5"/>
    <w:rsid w:val="6F7F1F35"/>
    <w:rsid w:val="6FCE31F6"/>
    <w:rsid w:val="704B11CB"/>
    <w:rsid w:val="706C2EEF"/>
    <w:rsid w:val="708E730A"/>
    <w:rsid w:val="70F52EE5"/>
    <w:rsid w:val="71BB1AB5"/>
    <w:rsid w:val="71E52F59"/>
    <w:rsid w:val="71F942E2"/>
    <w:rsid w:val="72677E12"/>
    <w:rsid w:val="72D30F51"/>
    <w:rsid w:val="73593BFF"/>
    <w:rsid w:val="738B2556"/>
    <w:rsid w:val="738B5D82"/>
    <w:rsid w:val="744E7886"/>
    <w:rsid w:val="74EF6E8A"/>
    <w:rsid w:val="74FA6D1C"/>
    <w:rsid w:val="75226272"/>
    <w:rsid w:val="75267B11"/>
    <w:rsid w:val="75B90985"/>
    <w:rsid w:val="75D55717"/>
    <w:rsid w:val="766268AF"/>
    <w:rsid w:val="772938E8"/>
    <w:rsid w:val="772D7E22"/>
    <w:rsid w:val="77CC60A6"/>
    <w:rsid w:val="78450BF6"/>
    <w:rsid w:val="78EC1B9D"/>
    <w:rsid w:val="79132C59"/>
    <w:rsid w:val="79674E4F"/>
    <w:rsid w:val="797057FE"/>
    <w:rsid w:val="79AA6EBC"/>
    <w:rsid w:val="79C9178A"/>
    <w:rsid w:val="79ED4D77"/>
    <w:rsid w:val="7A1D5A7A"/>
    <w:rsid w:val="7A3073D2"/>
    <w:rsid w:val="7AE10C8F"/>
    <w:rsid w:val="7B09415C"/>
    <w:rsid w:val="7B8254E0"/>
    <w:rsid w:val="7B8A21C8"/>
    <w:rsid w:val="7BDA78A7"/>
    <w:rsid w:val="7CC55E61"/>
    <w:rsid w:val="7D676F18"/>
    <w:rsid w:val="7DE06CCB"/>
    <w:rsid w:val="7E39045E"/>
    <w:rsid w:val="7EEE14BF"/>
    <w:rsid w:val="7F9F13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heading 1"/>
    <w:basedOn w:val="1"/>
    <w:next w:val="1"/>
    <w:qFormat/>
    <w:uiPriority w:val="0"/>
    <w:pPr>
      <w:keepNext/>
      <w:spacing w:beforeLines="100" w:afterLines="50"/>
      <w:jc w:val="center"/>
      <w:outlineLvl w:val="0"/>
    </w:pPr>
    <w:rPr>
      <w:rFonts w:eastAsia="黑体"/>
      <w:b/>
      <w:bCs/>
      <w:sz w:val="32"/>
      <w:szCs w:val="20"/>
    </w:rPr>
  </w:style>
  <w:style w:type="paragraph" w:styleId="13">
    <w:name w:val="heading 2"/>
    <w:basedOn w:val="1"/>
    <w:next w:val="1"/>
    <w:qFormat/>
    <w:uiPriority w:val="0"/>
    <w:pPr>
      <w:keepNext/>
      <w:keepLines/>
      <w:spacing w:line="360" w:lineRule="auto"/>
      <w:outlineLvl w:val="1"/>
    </w:pPr>
    <w:rPr>
      <w:rFonts w:ascii="Arial" w:hAnsi="Arial"/>
      <w:b/>
      <w:bCs/>
      <w:sz w:val="24"/>
      <w:szCs w:val="32"/>
    </w:rPr>
  </w:style>
  <w:style w:type="paragraph" w:styleId="14">
    <w:name w:val="heading 3"/>
    <w:basedOn w:val="1"/>
    <w:next w:val="1"/>
    <w:qFormat/>
    <w:uiPriority w:val="0"/>
    <w:pPr>
      <w:keepNext/>
      <w:keepLines/>
      <w:spacing w:before="260" w:after="260" w:line="416" w:lineRule="auto"/>
      <w:outlineLvl w:val="2"/>
    </w:pPr>
    <w:rPr>
      <w:b/>
      <w:bCs/>
      <w:sz w:val="32"/>
      <w:szCs w:val="32"/>
    </w:rPr>
  </w:style>
  <w:style w:type="paragraph" w:styleId="1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3"/>
    <w:qFormat/>
    <w:uiPriority w:val="0"/>
    <w:pPr>
      <w:ind w:firstLine="420"/>
    </w:pPr>
    <w:rPr>
      <w:szCs w:val="21"/>
    </w:rPr>
  </w:style>
  <w:style w:type="paragraph" w:customStyle="1" w:styleId="3">
    <w:name w:val="正文1"/>
    <w:basedOn w:val="4"/>
    <w:next w:val="10"/>
    <w:qFormat/>
    <w:uiPriority w:val="0"/>
    <w:pPr>
      <w:spacing w:line="360" w:lineRule="auto"/>
      <w:ind w:firstLine="480" w:firstLineChars="200"/>
    </w:pPr>
    <w:rPr>
      <w:sz w:val="24"/>
    </w:rPr>
  </w:style>
  <w:style w:type="paragraph" w:customStyle="1" w:styleId="4">
    <w:name w:val="正文_0"/>
    <w:next w:val="5"/>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First Indent 2"/>
    <w:basedOn w:val="6"/>
    <w:next w:val="7"/>
    <w:qFormat/>
    <w:uiPriority w:val="0"/>
    <w:pPr>
      <w:ind w:firstLine="420" w:firstLineChars="200"/>
    </w:pPr>
  </w:style>
  <w:style w:type="paragraph" w:styleId="6">
    <w:name w:val="Body Text Indent"/>
    <w:basedOn w:val="1"/>
    <w:next w:val="5"/>
    <w:qFormat/>
    <w:uiPriority w:val="0"/>
    <w:pPr>
      <w:spacing w:after="120"/>
      <w:ind w:left="420" w:leftChars="200"/>
    </w:pPr>
  </w:style>
  <w:style w:type="paragraph" w:styleId="7">
    <w:name w:val="Normal Indent"/>
    <w:basedOn w:val="1"/>
    <w:next w:val="8"/>
    <w:qFormat/>
    <w:uiPriority w:val="99"/>
    <w:pPr>
      <w:adjustRightInd w:val="0"/>
      <w:snapToGrid w:val="0"/>
    </w:pPr>
    <w:rPr>
      <w:rFonts w:ascii="宋体" w:hAnsi="华文细黑"/>
      <w:kern w:val="0"/>
    </w:rPr>
  </w:style>
  <w:style w:type="paragraph" w:customStyle="1" w:styleId="8">
    <w:name w:val="Default"/>
    <w:next w:val="9"/>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index 7"/>
    <w:basedOn w:val="1"/>
    <w:next w:val="1"/>
    <w:unhideWhenUsed/>
    <w:qFormat/>
    <w:uiPriority w:val="99"/>
    <w:pPr>
      <w:ind w:left="2520"/>
    </w:pPr>
    <w:rPr>
      <w:rFonts w:ascii="Calibri" w:hAnsi="Calibri"/>
      <w:szCs w:val="22"/>
    </w:rPr>
  </w:style>
  <w:style w:type="paragraph" w:customStyle="1" w:styleId="10">
    <w:name w:val="脚注文本1"/>
    <w:basedOn w:val="3"/>
    <w:next w:val="11"/>
    <w:qFormat/>
    <w:uiPriority w:val="0"/>
    <w:pPr>
      <w:jc w:val="left"/>
    </w:pPr>
    <w:rPr>
      <w:rFonts w:ascii="宋体" w:eastAsia="Times New Roman"/>
      <w:sz w:val="18"/>
      <w:szCs w:val="18"/>
    </w:rPr>
  </w:style>
  <w:style w:type="paragraph" w:customStyle="1" w:styleId="11">
    <w:name w:val="索引 51"/>
    <w:basedOn w:val="3"/>
    <w:next w:val="3"/>
    <w:qFormat/>
    <w:uiPriority w:val="0"/>
    <w:pPr>
      <w:ind w:left="798"/>
      <w:jc w:val="left"/>
    </w:pPr>
  </w:style>
  <w:style w:type="paragraph" w:styleId="16">
    <w:name w:val="Body Text"/>
    <w:basedOn w:val="1"/>
    <w:next w:val="8"/>
    <w:qFormat/>
    <w:uiPriority w:val="0"/>
    <w:pPr>
      <w:spacing w:after="120"/>
    </w:pPr>
  </w:style>
  <w:style w:type="paragraph" w:styleId="17">
    <w:name w:val="Block Text"/>
    <w:basedOn w:val="1"/>
    <w:next w:val="1"/>
    <w:qFormat/>
    <w:uiPriority w:val="0"/>
    <w:pPr>
      <w:ind w:left="1171" w:right="91" w:hanging="1080"/>
    </w:pPr>
    <w:rPr>
      <w:rFonts w:eastAsia="楷体_GB2312"/>
      <w:szCs w:val="20"/>
    </w:rPr>
  </w:style>
  <w:style w:type="paragraph" w:styleId="18">
    <w:name w:val="toc 3"/>
    <w:basedOn w:val="1"/>
    <w:next w:val="1"/>
    <w:unhideWhenUsed/>
    <w:qFormat/>
    <w:uiPriority w:val="39"/>
    <w:pPr>
      <w:adjustRightInd w:val="0"/>
      <w:snapToGrid w:val="0"/>
      <w:spacing w:line="360" w:lineRule="auto"/>
      <w:ind w:left="400" w:leftChars="400"/>
    </w:pPr>
    <w:rPr>
      <w:b/>
    </w:rPr>
  </w:style>
  <w:style w:type="paragraph" w:styleId="19">
    <w:name w:val="Plain Text"/>
    <w:basedOn w:val="1"/>
    <w:qFormat/>
    <w:uiPriority w:val="0"/>
    <w:rPr>
      <w:rFonts w:ascii="宋体" w:hAnsi="Courier New" w:cs="Courier New"/>
      <w:szCs w:val="21"/>
    </w:rPr>
  </w:style>
  <w:style w:type="paragraph" w:styleId="20">
    <w:name w:val="Date"/>
    <w:basedOn w:val="1"/>
    <w:next w:val="1"/>
    <w:qFormat/>
    <w:uiPriority w:val="0"/>
    <w:rPr>
      <w:sz w:val="24"/>
      <w:szCs w:val="20"/>
    </w:rPr>
  </w:style>
  <w:style w:type="paragraph" w:styleId="21">
    <w:name w:val="Body Text Indent 2"/>
    <w:basedOn w:val="1"/>
    <w:qFormat/>
    <w:uiPriority w:val="0"/>
    <w:pPr>
      <w:spacing w:after="120"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hint="eastAsia" w:ascii="Arial" w:hAnsi="Arial"/>
    </w:rPr>
  </w:style>
  <w:style w:type="paragraph" w:styleId="24">
    <w:name w:val="header"/>
    <w:basedOn w:val="1"/>
    <w:next w:val="1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line="360" w:lineRule="auto"/>
    </w:pPr>
    <w:rPr>
      <w:rFonts w:ascii="宋体" w:hAnsi="宋体"/>
      <w:b/>
      <w:sz w:val="24"/>
      <w:szCs w:val="21"/>
    </w:rPr>
  </w:style>
  <w:style w:type="paragraph" w:styleId="26">
    <w:name w:val="toc 4"/>
    <w:basedOn w:val="1"/>
    <w:next w:val="1"/>
    <w:unhideWhenUsed/>
    <w:qFormat/>
    <w:uiPriority w:val="39"/>
    <w:pPr>
      <w:adjustRightInd w:val="0"/>
      <w:snapToGrid w:val="0"/>
      <w:spacing w:line="360" w:lineRule="auto"/>
      <w:ind w:left="600" w:leftChars="600"/>
    </w:pPr>
    <w:rPr>
      <w:rFonts w:ascii="Calibri" w:hAnsi="Calibri"/>
      <w:b/>
      <w:szCs w:val="22"/>
    </w:rPr>
  </w:style>
  <w:style w:type="paragraph" w:styleId="27">
    <w:name w:val="toc 2"/>
    <w:basedOn w:val="1"/>
    <w:next w:val="1"/>
    <w:unhideWhenUsed/>
    <w:qFormat/>
    <w:uiPriority w:val="39"/>
    <w:pPr>
      <w:spacing w:line="360" w:lineRule="auto"/>
      <w:ind w:left="200" w:leftChars="200"/>
    </w:pPr>
    <w:rPr>
      <w:b/>
    </w:rPr>
  </w:style>
  <w:style w:type="paragraph" w:styleId="28">
    <w:name w:val="Body Text 2"/>
    <w:basedOn w:val="1"/>
    <w:qFormat/>
    <w:uiPriority w:val="0"/>
    <w:pPr>
      <w:spacing w:after="120" w:line="480" w:lineRule="auto"/>
    </w:pPr>
  </w:style>
  <w:style w:type="paragraph" w:styleId="29">
    <w:name w:val="Normal (Web)"/>
    <w:basedOn w:val="1"/>
    <w:qFormat/>
    <w:uiPriority w:val="0"/>
    <w:pPr>
      <w:spacing w:before="100" w:beforeAutospacing="1" w:after="100" w:afterAutospacing="1"/>
      <w:jc w:val="left"/>
    </w:pPr>
    <w:rPr>
      <w:kern w:val="0"/>
      <w:sz w:val="24"/>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paragraph" w:styleId="35">
    <w:name w:val="Intense Quote"/>
    <w:basedOn w:val="1"/>
    <w:next w:val="1"/>
    <w:qFormat/>
    <w:uiPriority w:val="0"/>
    <w:pPr>
      <w:pBdr>
        <w:bottom w:val="single" w:color="4F81BD" w:sz="4" w:space="4"/>
      </w:pBdr>
      <w:spacing w:before="200" w:after="280"/>
      <w:ind w:left="936" w:right="936"/>
    </w:pPr>
    <w:rPr>
      <w:b/>
      <w:bCs/>
      <w:i/>
      <w:iCs/>
      <w:color w:val="4F81BD"/>
      <w:szCs w:val="22"/>
    </w:rPr>
  </w:style>
  <w:style w:type="paragraph" w:customStyle="1" w:styleId="36">
    <w:name w:val="正文格式"/>
    <w:basedOn w:val="37"/>
    <w:qFormat/>
    <w:uiPriority w:val="0"/>
    <w:pPr>
      <w:widowControl/>
      <w:adjustRightInd w:val="0"/>
      <w:snapToGrid w:val="0"/>
      <w:spacing w:line="400" w:lineRule="atLeast"/>
      <w:ind w:firstLine="482"/>
      <w:textAlignment w:val="baseline"/>
    </w:pPr>
    <w:rPr>
      <w:kern w:val="0"/>
      <w:sz w:val="24"/>
    </w:rPr>
  </w:style>
  <w:style w:type="paragraph" w:customStyle="1" w:styleId="37">
    <w:name w:val="正文11"/>
    <w:next w:val="36"/>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character" w:customStyle="1" w:styleId="38">
    <w:name w:val="NormalCharacter"/>
    <w:qFormat/>
    <w:uiPriority w:val="0"/>
  </w:style>
  <w:style w:type="paragraph" w:customStyle="1" w:styleId="39">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p0"/>
    <w:basedOn w:val="1"/>
    <w:qFormat/>
    <w:uiPriority w:val="0"/>
    <w:pPr>
      <w:widowControl/>
    </w:pPr>
    <w:rPr>
      <w:szCs w:val="21"/>
    </w:rPr>
  </w:style>
  <w:style w:type="paragraph" w:styleId="4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30771</Words>
  <Characters>32118</Characters>
  <Lines>259</Lines>
  <Paragraphs>73</Paragraphs>
  <TotalTime>24</TotalTime>
  <ScaleCrop>false</ScaleCrop>
  <LinksUpToDate>false</LinksUpToDate>
  <CharactersWithSpaces>34852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2022-09-25T06:30:00Z</dcterms:created>
  <dc:creator>HiWin10</dc:creator>
  <cp:lastModifiedBy>海水1</cp:lastModifiedBy>
  <cp:lastPrinted>2025-09-16T08:36:00Z</cp:lastPrinted>
  <dcterms:modified xsi:type="dcterms:W3CDTF">2025-09-19T09:10:43Z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B67B3AE2720E4C32AD64EA91BDCDA57A_13</vt:lpwstr>
  </property>
  <property fmtid="{D5CDD505-2E9C-101B-9397-08002B2CF9AE}" pid="4" name="KSOTemplateDocerSaveRecord">
    <vt:lpwstr>eyJoZGlkIjoiNDIwNWI4NDgyZWZkODlmMTI1MDUyN2Q1OTQ1YjM1ODAiLCJ1c2VySWQiOiIzODAyMDY0NzYifQ==</vt:lpwstr>
  </property>
</Properties>
</file>