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96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lang w:val="en-US" w:eastAsia="zh-CN"/>
        </w:rPr>
        <w:t>镇堂街（新农路—金星南路）道路新建工程和天华路（湘中大道—百宝街）新建工程三阶段设计</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lang w:eastAsia="zh-CN"/>
        </w:rPr>
        <w:t>询价比选方案</w:t>
      </w:r>
    </w:p>
    <w:p w14:paraId="626D4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14:paraId="2C76E8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、项目名称</w:t>
      </w:r>
    </w:p>
    <w:p w14:paraId="6DE716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此次询价比选项目名称为</w:t>
      </w: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p>
    <w:p w14:paraId="374F6C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二、项目内容</w:t>
      </w:r>
    </w:p>
    <w:p w14:paraId="7E6D21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镇堂街(新农路-一金星南路)段西起新农路，东至金星南路，途经天华路、湄江路、民生路，全长 1094.663 米，道路设计路幅宽度为 30 米，为城市次干路，总体呈东西走向。天华路(湘中大道一百宝街)北起湘中大道，南至百宝街，途径竹南街富厚街，全长 726.965m，基本路幅宽 42 米，为城市次干路，总体呈南北走向。三阶段设计：方案设计、初步设计、施工图设计。</w:t>
      </w:r>
    </w:p>
    <w:p w14:paraId="6C7F8168">
      <w:pPr>
        <w:pStyle w:val="2"/>
        <w:rPr>
          <w:rFonts w:hint="eastAsia"/>
          <w:lang w:val="en-US" w:eastAsia="zh-CN"/>
        </w:rPr>
      </w:pPr>
    </w:p>
    <w:p w14:paraId="685AE718">
      <w:pPr>
        <w:pStyle w:val="10"/>
        <w:numPr>
          <w:ilvl w:val="0"/>
          <w:numId w:val="0"/>
        </w:numPr>
        <w:ind w:left="630" w:leftChars="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eastAsia="zh-CN"/>
        </w:rPr>
        <w:t>三、项目费用</w:t>
      </w:r>
    </w:p>
    <w:p w14:paraId="4DE8A08B">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该项目最高限价金额（含税金）人民币（大</w:t>
      </w:r>
      <w:r>
        <w:rPr>
          <w:rFonts w:hint="eastAsia" w:ascii="仿宋_GB2312" w:hAnsi="仿宋_GB2312" w:eastAsia="仿宋_GB2312" w:cs="仿宋_GB2312"/>
          <w:sz w:val="32"/>
          <w:szCs w:val="32"/>
          <w:u w:val="none"/>
          <w:lang w:eastAsia="zh-CN"/>
        </w:rPr>
        <w:t>写）：</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伍拾玖万陆仟捌佰</w:t>
      </w:r>
      <w:r>
        <w:rPr>
          <w:rFonts w:hint="eastAsia" w:ascii="仿宋_GB2312" w:hAnsi="仿宋_GB2312" w:eastAsia="仿宋_GB2312" w:cs="仿宋_GB2312"/>
          <w:sz w:val="32"/>
          <w:szCs w:val="32"/>
          <w:u w:val="single"/>
          <w:lang w:eastAsia="zh-CN"/>
        </w:rPr>
        <w:t>元</w:t>
      </w:r>
      <w:r>
        <w:rPr>
          <w:rFonts w:hint="eastAsia" w:ascii="仿宋_GB2312" w:hAnsi="仿宋_GB2312" w:eastAsia="仿宋_GB2312" w:cs="仿宋_GB2312"/>
          <w:sz w:val="32"/>
          <w:szCs w:val="32"/>
          <w:u w:val="single"/>
          <w:lang w:val="en-US" w:eastAsia="zh-CN"/>
        </w:rPr>
        <w:t>整</w:t>
      </w:r>
      <w:r>
        <w:rPr>
          <w:rFonts w:hint="eastAsia" w:ascii="仿宋_GB2312" w:hAnsi="仿宋_GB2312" w:eastAsia="仿宋_GB2312" w:cs="仿宋_GB2312"/>
          <w:sz w:val="32"/>
          <w:szCs w:val="32"/>
          <w:u w:val="none"/>
          <w:lang w:eastAsia="zh-CN"/>
        </w:rPr>
        <w:t>，（小写）RMB￥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599300</w:t>
      </w:r>
      <w:r>
        <w:rPr>
          <w:rFonts w:hint="eastAsia" w:ascii="仿宋_GB2312" w:hAnsi="仿宋_GB2312" w:eastAsia="仿宋_GB2312" w:cs="仿宋_GB2312"/>
          <w:sz w:val="32"/>
          <w:szCs w:val="32"/>
          <w:lang w:eastAsia="zh-CN"/>
        </w:rPr>
        <w:t>元。</w:t>
      </w:r>
    </w:p>
    <w:p w14:paraId="00BBAA22">
      <w:pPr>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eastAsia="仿宋_GB2312"/>
          <w:sz w:val="32"/>
          <w:szCs w:val="32"/>
          <w:u w:val="none"/>
          <w:lang w:val="en-US" w:eastAsia="zh-CN"/>
        </w:rPr>
        <w:t>1、</w:t>
      </w:r>
      <w:r>
        <w:rPr>
          <w:rFonts w:hint="eastAsia" w:ascii="仿宋_GB2312" w:hAnsi="仿宋_GB2312" w:eastAsia="仿宋_GB2312" w:cs="仿宋_GB2312"/>
          <w:sz w:val="32"/>
          <w:szCs w:val="32"/>
          <w:lang w:val="en-US" w:eastAsia="zh-CN"/>
        </w:rPr>
        <w:t>镇堂街（新农路—金星南路）道路新建工程设计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该设计费用上限价</w:t>
      </w:r>
      <w:r>
        <w:rPr>
          <w:rFonts w:hint="eastAsia" w:ascii="仿宋_GB2312" w:eastAsia="仿宋_GB2312"/>
          <w:sz w:val="32"/>
          <w:szCs w:val="32"/>
          <w:u w:val="single"/>
          <w:lang w:val="en-US" w:eastAsia="zh-CN"/>
        </w:rPr>
        <w:t>328500</w:t>
      </w:r>
      <w:r>
        <w:rPr>
          <w:rFonts w:hint="eastAsia" w:ascii="仿宋_GB2312" w:eastAsia="仿宋_GB2312"/>
          <w:sz w:val="32"/>
          <w:szCs w:val="32"/>
          <w:u w:val="none"/>
          <w:lang w:val="en-US" w:eastAsia="zh-CN"/>
        </w:rPr>
        <w:t>元。建安费预估为4100万，费用计算公式为</w:t>
      </w:r>
      <w:r>
        <w:rPr>
          <w:rFonts w:hint="eastAsia" w:ascii="仿宋_GB2312" w:hAnsi="仿宋_GB2312" w:eastAsia="仿宋_GB2312" w:cs="仿宋_GB2312"/>
          <w:kern w:val="2"/>
          <w:sz w:val="32"/>
          <w:szCs w:val="32"/>
          <w:lang w:val="en-US" w:eastAsia="zh-CN" w:bidi="ar-SA"/>
        </w:rPr>
        <w:t>（103.8+（4100-3000）*（163.9-103.8）/（5000-3000））*1*1=136.86万元。参照《娄底市娄星区区本级政府投资项目中介咨询服务收费上限指导标准（试行）》文件执行，即按国家计委、建设部关于发布《工程勘察设计收费管理规定》的通知（计价格〔2002〕10号）文收费标准50%计取，为68.43万元。考虑到项目实际情况，设计费再按0.48折计取，最终设计费上限为32.85万元。</w:t>
      </w:r>
    </w:p>
    <w:p w14:paraId="449BC0AA">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lang w:val="en-US" w:eastAsia="zh-CN"/>
        </w:rPr>
        <w:t>天华路（湘中大道—百宝街）新建工程设计</w:t>
      </w:r>
      <w:r>
        <w:rPr>
          <w:rFonts w:hint="eastAsia" w:ascii="仿宋_GB2312" w:hAnsi="仿宋_GB2312" w:eastAsia="仿宋_GB2312" w:cs="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该设计费用上限价</w:t>
      </w:r>
      <w:r>
        <w:rPr>
          <w:rFonts w:hint="eastAsia" w:ascii="仿宋_GB2312" w:eastAsia="仿宋_GB2312"/>
          <w:sz w:val="32"/>
          <w:szCs w:val="32"/>
          <w:u w:val="single"/>
          <w:lang w:val="en-US" w:eastAsia="zh-CN"/>
        </w:rPr>
        <w:t>270800</w:t>
      </w:r>
      <w:r>
        <w:rPr>
          <w:rFonts w:hint="eastAsia" w:ascii="仿宋_GB2312" w:eastAsia="仿宋_GB2312"/>
          <w:sz w:val="32"/>
          <w:szCs w:val="32"/>
          <w:u w:val="none"/>
          <w:lang w:val="en-US" w:eastAsia="zh-CN"/>
        </w:rPr>
        <w:t>元。建安费预估为3300万，</w:t>
      </w:r>
      <w:r>
        <w:rPr>
          <w:rFonts w:hint="eastAsia" w:ascii="仿宋_GB2312" w:hAnsi="仿宋_GB2312" w:eastAsia="仿宋_GB2312" w:cs="仿宋_GB2312"/>
          <w:kern w:val="2"/>
          <w:sz w:val="32"/>
          <w:szCs w:val="32"/>
          <w:lang w:val="en-US" w:eastAsia="zh-CN" w:bidi="ar-SA"/>
        </w:rPr>
        <w:t>费用计算公式为（103.8+（3300-3000）*（163.9-103.8）/（5000-3000））*1*1=112.82万元。参照《娄底市娄星区区本级政府投资项目中介咨询服务收费上限指导标准（试行）》文件执行，即按国家计委、建设部关于发布《工程勘察设计收费管理规定》的通知（计价格〔2002〕10号）文收费标准50%计取，为56.41万元。考虑到项目实际情况，设计费再按0.48折计取，最终设计费上限为27.08万元。</w:t>
      </w:r>
    </w:p>
    <w:p w14:paraId="3D06217C">
      <w:pPr>
        <w:numPr>
          <w:ilvl w:val="0"/>
          <w:numId w:val="0"/>
        </w:num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（参选单位的投标总价不得高于最高限价，投标单价不得高于采购人发布的上限单价，暂估价不变，否则为不合格报价，作废标处理</w:t>
      </w:r>
      <w:r>
        <w:rPr>
          <w:rFonts w:hint="eastAsia" w:ascii="仿宋_GB2312" w:hAnsi="仿宋_GB2312" w:eastAsia="仿宋_GB2312" w:cs="仿宋_GB2312"/>
          <w:sz w:val="32"/>
          <w:szCs w:val="32"/>
          <w:lang w:eastAsia="zh-CN"/>
        </w:rPr>
        <w:t>）。</w:t>
      </w:r>
    </w:p>
    <w:p w14:paraId="0E9814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投标单位的总报价中应包括成本、利润、税金、保险费、车旅费等一切相关费用。</w:t>
      </w:r>
    </w:p>
    <w:p w14:paraId="731380D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（三）</w:t>
      </w:r>
      <w:r>
        <w:rPr>
          <w:rFonts w:hint="eastAsia" w:ascii="仿宋_GB2312" w:eastAsia="仿宋_GB2312" w:hAnsiTheme="minorHAnsi" w:cstheme="minorBidi"/>
          <w:color w:val="auto"/>
          <w:kern w:val="2"/>
          <w:sz w:val="32"/>
          <w:szCs w:val="32"/>
          <w:lang w:val="en-US" w:eastAsia="zh-CN" w:bidi="ar-SA"/>
        </w:rPr>
        <w:t>土地征用、工农矛盾协调及青苗、鱼（水）塘赔偿等费用</w:t>
      </w:r>
      <w:r>
        <w:rPr>
          <w:rFonts w:hint="eastAsia" w:ascii="仿宋_GB2312" w:eastAsia="仿宋_GB2312" w:cstheme="minorBidi"/>
          <w:color w:val="auto"/>
          <w:kern w:val="2"/>
          <w:sz w:val="32"/>
          <w:szCs w:val="32"/>
          <w:lang w:val="en-US" w:eastAsia="zh-CN" w:bidi="ar-SA"/>
        </w:rPr>
        <w:t>，不包含在本费用中。</w:t>
      </w:r>
    </w:p>
    <w:p w14:paraId="5212A0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四、参选单位数量及资质要求</w:t>
      </w:r>
    </w:p>
    <w:p w14:paraId="29193C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本项目询价比选公告在娄底市万宝新区开发投资集团有限公司（以下简称“我司”）官网进行发布</w:t>
      </w:r>
      <w:r>
        <w:rPr>
          <w:rFonts w:hint="eastAsia" w:ascii="仿宋_GB2312" w:hAnsi="仿宋_GB2312" w:eastAsia="仿宋_GB2312" w:cs="仿宋_GB2312"/>
          <w:color w:val="auto"/>
          <w:sz w:val="32"/>
          <w:szCs w:val="32"/>
          <w:lang w:val="en-US" w:eastAsia="zh-CN"/>
        </w:rPr>
        <w:t>3天</w:t>
      </w:r>
      <w:r>
        <w:rPr>
          <w:rFonts w:hint="eastAsia" w:ascii="仿宋_GB2312" w:hAnsi="仿宋_GB2312" w:eastAsia="仿宋_GB2312" w:cs="仿宋_GB2312"/>
          <w:color w:val="auto"/>
          <w:sz w:val="32"/>
          <w:szCs w:val="32"/>
          <w:lang w:eastAsia="zh-CN"/>
        </w:rPr>
        <w:t>。参选单位为三家及以上；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在载明截止时间，参选单位少于三家，我司在官网再次进行询价比选公告公示；在第二次载明截止时间，参选单位少于三家，我司按照资格审查、中选单位确定原则，确定中选单位。</w:t>
      </w:r>
      <w:r>
        <w:rPr>
          <w:rFonts w:hint="eastAsia" w:ascii="仿宋_GB2312" w:hAnsi="仿宋_GB2312" w:eastAsia="仿宋_GB2312" w:cs="仿宋_GB2312"/>
          <w:color w:val="auto"/>
          <w:sz w:val="32"/>
          <w:szCs w:val="32"/>
          <w:lang w:eastAsia="zh-CN"/>
        </w:rPr>
        <w:t>在评选时进行资格审查，满足以下要求：</w:t>
      </w:r>
    </w:p>
    <w:p w14:paraId="053652AA">
      <w:pPr>
        <w:numPr>
          <w:ilvl w:val="0"/>
          <w:numId w:val="0"/>
        </w:num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lang w:eastAsia="zh-CN"/>
        </w:rPr>
        <w:t>参选单</w:t>
      </w:r>
      <w:r>
        <w:rPr>
          <w:rFonts w:hint="eastAsia" w:ascii="仿宋_GB2312" w:hAnsi="仿宋_GB2312" w:eastAsia="仿宋_GB2312" w:cs="仿宋_GB2312"/>
          <w:color w:val="000000" w:themeColor="text1"/>
          <w:sz w:val="32"/>
          <w:szCs w:val="32"/>
          <w:lang w:eastAsia="zh-CN"/>
          <w14:textFill>
            <w14:solidFill>
              <w14:schemeClr w14:val="tx1"/>
            </w14:solidFill>
          </w14:textFill>
        </w:rPr>
        <w:t>位必须具有</w:t>
      </w:r>
      <w:r>
        <w:rPr>
          <w:rFonts w:hint="eastAsia" w:ascii="仿宋_GB2312" w:hAnsi="仿宋_GB2312" w:eastAsia="仿宋_GB2312" w:cs="仿宋_GB2312"/>
          <w:b/>
          <w:bCs/>
          <w:color w:val="000000" w:themeColor="text1"/>
          <w:sz w:val="32"/>
          <w:szCs w:val="32"/>
          <w:u w:val="single"/>
          <w:lang w:eastAsia="zh-CN"/>
          <w14:textFill>
            <w14:solidFill>
              <w14:schemeClr w14:val="tx1"/>
            </w14:solidFill>
          </w14:textFill>
        </w:rPr>
        <w:t>有效期内住房和城乡建设行政主管部门颁发的工程设计综合乙级资质或市政行业乙级资质或市政专业（道路工程）乙级资；</w:t>
      </w:r>
    </w:p>
    <w:p w14:paraId="5868165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单位提供</w:t>
      </w:r>
      <w:r>
        <w:rPr>
          <w:rFonts w:hint="eastAsia" w:ascii="仿宋_GB2312" w:hAnsi="仿宋_GB2312" w:eastAsia="仿宋_GB2312" w:cs="仿宋_GB2312"/>
          <w:color w:val="auto"/>
          <w:sz w:val="32"/>
          <w:szCs w:val="32"/>
          <w:lang w:eastAsia="zh-CN"/>
        </w:rPr>
        <w:t>企业营业执照、资质证书的复印件并盖公</w:t>
      </w:r>
      <w:r>
        <w:rPr>
          <w:rFonts w:hint="eastAsia" w:ascii="仿宋_GB2312" w:hAnsi="仿宋_GB2312" w:eastAsia="仿宋_GB2312" w:cs="仿宋_GB2312"/>
          <w:sz w:val="32"/>
          <w:szCs w:val="32"/>
          <w:lang w:eastAsia="zh-CN"/>
        </w:rPr>
        <w:t>章。</w:t>
      </w:r>
    </w:p>
    <w:p w14:paraId="6BFA280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320" w:firstLineChars="100"/>
        <w:textAlignment w:val="auto"/>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）无不良信用记录。</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供查询结果截图并盖公章。对列入失信被执行人、重大税收违法案件当事人名单、政府采购严重违法失信行为记录名单及其他不符合《中华人民共和国政府采购法》第二十二条规定条件的供应商，将拒绝其参与询价比选活动。信用信息查询的查询渠道：“信用中国”网站（www.creditchina.gov.cn）、</w:t>
      </w:r>
      <w:r>
        <w:rPr>
          <w:rFonts w:hint="eastAsia" w:ascii="仿宋_GB2312" w:hAnsi="仿宋_GB2312" w:eastAsia="仿宋_GB2312" w:cs="仿宋_GB2312"/>
          <w:color w:val="auto"/>
          <w:sz w:val="32"/>
          <w:szCs w:val="32"/>
          <w:lang w:eastAsia="zh-CN"/>
        </w:rPr>
        <w:t>中国政府采购网（www.ccgp.gov.cn）和湖南省政府采购网（www.ccgp-hunan.gov.cn）。</w:t>
      </w:r>
    </w:p>
    <w:p w14:paraId="08F8BF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五、报价函格式及主要内容要求</w:t>
      </w:r>
    </w:p>
    <w:p w14:paraId="3A544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u w:val="single"/>
          <w:lang w:eastAsia="zh-CN"/>
        </w:rPr>
        <w:t>。</w:t>
      </w:r>
    </w:p>
    <w:p w14:paraId="2DE1CF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lang w:val="en-US" w:eastAsia="zh-CN"/>
        </w:rPr>
        <w:t>镇堂街(新农路-一金星南路)段西起新农路，东至金星南路，途经天华路、湄江路、民生路，全长 1094.663 米，道路设计路幅宽度为 30 米，为城市次干路，总体呈东西走向。天华路(湘中大道一百宝街)北起湘中大道，南至百宝街，途径竹南街富厚街，全长 726.965m，基本路幅宽 42 米，为城市次干路，总体呈南北走向。三阶段设计：方案设计、初步设计、施工图设计。</w:t>
      </w:r>
    </w:p>
    <w:p w14:paraId="1E208A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14:paraId="15BFD056">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p>
    <w:p w14:paraId="537BDDAF">
      <w:pPr>
        <w:numPr>
          <w:ilvl w:val="0"/>
          <w:numId w:val="0"/>
        </w:numPr>
        <w:ind w:firstLine="640" w:firstLineChars="200"/>
        <w:rPr>
          <w:rFonts w:hint="eastAsia" w:ascii="仿宋_GB2312" w:eastAsia="仿宋_GB2312"/>
          <w:color w:val="auto"/>
          <w:sz w:val="32"/>
          <w:szCs w:val="32"/>
          <w:u w:val="none"/>
          <w:lang w:val="en-US" w:eastAsia="zh-CN"/>
        </w:rPr>
      </w:pPr>
      <w:r>
        <w:rPr>
          <w:rFonts w:hint="eastAsia" w:ascii="仿宋_GB2312" w:eastAsia="仿宋_GB2312"/>
          <w:sz w:val="32"/>
          <w:szCs w:val="32"/>
          <w:u w:val="none"/>
          <w:lang w:val="en-US" w:eastAsia="zh-CN"/>
        </w:rPr>
        <w:t>1、</w:t>
      </w:r>
      <w:r>
        <w:rPr>
          <w:rFonts w:hint="eastAsia" w:ascii="仿宋_GB2312" w:hAnsi="仿宋_GB2312" w:eastAsia="仿宋_GB2312" w:cs="仿宋_GB2312"/>
          <w:sz w:val="32"/>
          <w:szCs w:val="32"/>
          <w:lang w:val="en-US" w:eastAsia="zh-CN"/>
        </w:rPr>
        <w:t>镇堂街（新农路—金星南路）道路新建工程设计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该项设计费用为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14:paraId="038CA650">
      <w:pPr>
        <w:numPr>
          <w:ilvl w:val="0"/>
          <w:numId w:val="0"/>
        </w:numPr>
        <w:ind w:firstLine="640" w:firstLineChars="200"/>
        <w:rPr>
          <w:rFonts w:hint="eastAsia" w:ascii="仿宋_GB2312" w:hAnsi="仿宋_GB2312" w:eastAsia="仿宋_GB2312" w:cs="仿宋_GB2312"/>
          <w:sz w:val="32"/>
          <w:szCs w:val="32"/>
          <w:u w:val="none"/>
          <w:lang w:val="en-US" w:eastAsia="zh-CN"/>
        </w:rPr>
      </w:pPr>
      <w:r>
        <w:rPr>
          <w:rFonts w:hint="eastAsia" w:ascii="仿宋_GB2312" w:eastAsia="仿宋_GB2312"/>
          <w:color w:val="auto"/>
          <w:sz w:val="32"/>
          <w:szCs w:val="32"/>
          <w:u w:val="none"/>
          <w:lang w:val="en-US" w:eastAsia="zh-CN"/>
        </w:rPr>
        <w:t>2、</w:t>
      </w:r>
      <w:r>
        <w:rPr>
          <w:rFonts w:hint="eastAsia" w:ascii="仿宋_GB2312" w:hAnsi="仿宋_GB2312" w:eastAsia="仿宋_GB2312" w:cs="仿宋_GB2312"/>
          <w:sz w:val="32"/>
          <w:szCs w:val="32"/>
          <w:lang w:val="en-US" w:eastAsia="zh-CN"/>
        </w:rPr>
        <w:t>天华路（湘中大道—百宝街）新建工程设计</w:t>
      </w:r>
      <w:r>
        <w:rPr>
          <w:rFonts w:hint="eastAsia" w:ascii="仿宋_GB2312" w:hAnsi="仿宋_GB2312" w:eastAsia="仿宋_GB2312" w:cs="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该项设计费用</w:t>
      </w:r>
    </w:p>
    <w:p w14:paraId="512C4127">
      <w:pPr>
        <w:numPr>
          <w:ilvl w:val="0"/>
          <w:numId w:val="0"/>
        </w:numPr>
        <w:rPr>
          <w:rFonts w:hint="eastAsia" w:ascii="仿宋_GB2312" w:eastAsia="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14:paraId="6B2A56A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1381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w:t>
      </w:r>
      <w:r>
        <w:rPr>
          <w:rFonts w:hint="eastAsia" w:ascii="仿宋_GB2312" w:hAnsi="仿宋_GB2312" w:eastAsia="仿宋_GB2312" w:cs="仿宋_GB2312"/>
          <w:sz w:val="32"/>
          <w:szCs w:val="32"/>
          <w:lang w:val="en-US" w:eastAsia="zh-CN"/>
        </w:rPr>
        <w:t>设计单位</w:t>
      </w:r>
      <w:r>
        <w:rPr>
          <w:rFonts w:hint="eastAsia" w:ascii="仿宋_GB2312" w:hAnsi="仿宋_GB2312" w:eastAsia="仿宋_GB2312" w:cs="仿宋_GB2312"/>
          <w:sz w:val="32"/>
          <w:szCs w:val="32"/>
          <w:lang w:eastAsia="zh-CN"/>
        </w:rPr>
        <w:t>提交的</w:t>
      </w:r>
      <w:r>
        <w:rPr>
          <w:rFonts w:hint="eastAsia" w:ascii="仿宋_GB2312" w:hAnsi="仿宋_GB2312" w:eastAsia="仿宋_GB2312" w:cs="仿宋_GB2312"/>
          <w:sz w:val="32"/>
          <w:szCs w:val="32"/>
          <w:lang w:val="en-US" w:eastAsia="zh-CN"/>
        </w:rPr>
        <w:t>合格设计成果</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lang w:val="en-US" w:eastAsia="zh-CN"/>
        </w:rPr>
        <w:t>30天内，向设计单位支付85%的费用；余款在工程竣工之日起30天内，一次性支付完毕全部费用（由设计单位提供合规税率6%的增值税发票）</w:t>
      </w:r>
      <w:r>
        <w:rPr>
          <w:rFonts w:hint="eastAsia" w:ascii="仿宋_GB2312" w:hAnsi="仿宋_GB2312" w:eastAsia="仿宋_GB2312" w:cs="仿宋_GB2312"/>
          <w:sz w:val="32"/>
          <w:szCs w:val="32"/>
          <w:lang w:eastAsia="zh-CN"/>
        </w:rPr>
        <w:t>。</w:t>
      </w:r>
    </w:p>
    <w:p w14:paraId="71DC4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六、询价比选会方式</w:t>
      </w:r>
    </w:p>
    <w:p w14:paraId="5E1A8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采取参与单位现场参加询价比选会方式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参与单位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法定代表人或其授权委托人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(携带授权委托书）参加。</w:t>
      </w:r>
    </w:p>
    <w:p w14:paraId="4C8D4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七、询价比选会时间及地点</w:t>
      </w:r>
    </w:p>
    <w:p w14:paraId="6D81D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询价比选</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定于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14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9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00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u w:val="single"/>
          <w:lang w:val="en-US" w:eastAsia="zh-CN"/>
        </w:rPr>
        <w:t xml:space="preserve"> 519 </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举行。</w:t>
      </w:r>
    </w:p>
    <w:p w14:paraId="1489C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八、询价比选评委人员</w:t>
      </w:r>
    </w:p>
    <w:p w14:paraId="57F1B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评委成员组成为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其中，集团公司项目前期部</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，工程管理部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财务融资部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，风控审计部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14:paraId="0198A6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九、询价比选监督人员</w:t>
      </w:r>
    </w:p>
    <w:p w14:paraId="30DEE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纪检监察室</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人监督</w:t>
      </w:r>
    </w:p>
    <w:p w14:paraId="716639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十、询价比选中选单位确定原则</w:t>
      </w:r>
    </w:p>
    <w:p w14:paraId="776236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法，即参选单位中报价得分最高的确定为中选单位。</w:t>
      </w:r>
      <w:r>
        <w:rPr>
          <w:rFonts w:hint="eastAsia" w:ascii="仿宋_GB2312" w:hAnsi="仿宋_GB2312" w:eastAsia="仿宋_GB2312" w:cs="仿宋_GB2312"/>
          <w:sz w:val="32"/>
          <w:szCs w:val="32"/>
          <w:lang w:eastAsia="zh-CN"/>
        </w:rPr>
        <w:t>若最高得分有并列的两家及以上单位，由评委会抽签确定中选单位。</w:t>
      </w:r>
    </w:p>
    <w:p w14:paraId="5A857D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其他内容</w:t>
      </w:r>
    </w:p>
    <w:p w14:paraId="18EF9B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中选单位在中选后结合我司实际情况签订合同。</w:t>
      </w:r>
    </w:p>
    <w:p w14:paraId="2C7C6D68">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十二、</w:t>
      </w:r>
      <w:r>
        <w:rPr>
          <w:rFonts w:hint="eastAsia" w:ascii="仿宋_GB2312" w:hAnsi="仿宋_GB2312" w:eastAsia="仿宋_GB2312" w:cs="仿宋_GB2312"/>
          <w:b/>
          <w:bCs/>
          <w:sz w:val="32"/>
          <w:szCs w:val="32"/>
          <w:lang w:eastAsia="zh-CN"/>
        </w:rPr>
        <w:t>投标文件请按附件</w:t>
      </w:r>
      <w:r>
        <w:rPr>
          <w:rFonts w:hint="eastAsia" w:ascii="仿宋_GB2312" w:hAnsi="仿宋_GB2312" w:eastAsia="仿宋_GB2312" w:cs="仿宋_GB2312"/>
          <w:b/>
          <w:bCs/>
          <w:sz w:val="32"/>
          <w:szCs w:val="32"/>
          <w:lang w:val="en-US" w:eastAsia="zh-CN"/>
        </w:rPr>
        <w:t>2格式编制，原件一份，副本一份，胶装并</w:t>
      </w:r>
      <w:r>
        <w:rPr>
          <w:rFonts w:hint="eastAsia" w:ascii="仿宋_GB2312" w:hAnsi="仿宋_GB2312" w:eastAsia="仿宋_GB2312" w:cs="仿宋_GB2312"/>
          <w:b/>
          <w:bCs/>
          <w:color w:val="auto"/>
          <w:sz w:val="32"/>
          <w:szCs w:val="32"/>
          <w:lang w:val="en-US" w:eastAsia="zh-CN"/>
        </w:rPr>
        <w:t>密封</w:t>
      </w:r>
      <w:r>
        <w:rPr>
          <w:rFonts w:hint="eastAsia" w:ascii="仿宋_GB2312" w:hAnsi="仿宋_GB2312" w:eastAsia="仿宋_GB2312" w:cs="仿宋_GB2312"/>
          <w:b/>
          <w:bCs/>
          <w:sz w:val="32"/>
          <w:szCs w:val="32"/>
          <w:lang w:val="en-US" w:eastAsia="zh-CN"/>
        </w:rPr>
        <w:t>。</w:t>
      </w:r>
    </w:p>
    <w:p w14:paraId="3C0960A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2A095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关</w:t>
      </w:r>
      <w:r>
        <w:rPr>
          <w:rFonts w:hint="eastAsia" w:ascii="方正小标宋_GBK" w:hAnsi="方正小标宋_GBK" w:eastAsia="方正小标宋_GBK" w:cs="方正小标宋_GBK"/>
          <w:sz w:val="40"/>
          <w:szCs w:val="40"/>
          <w:lang w:eastAsia="zh-CN"/>
        </w:rPr>
        <w:t>于确定</w:t>
      </w:r>
      <w:r>
        <w:rPr>
          <w:rFonts w:hint="eastAsia" w:ascii="方正小标宋_GBK" w:hAnsi="方正小标宋_GBK" w:eastAsia="方正小标宋_GBK" w:cs="方正小标宋_GBK"/>
          <w:sz w:val="40"/>
          <w:szCs w:val="40"/>
          <w:lang w:val="en-US" w:eastAsia="zh-CN"/>
        </w:rPr>
        <w:t>镇堂街（新农路—金星南路）道路新建工程和天华路（湘中大道—百宝街）新建工程三阶段设计项目中选单位会议纪要</w:t>
      </w:r>
    </w:p>
    <w:p w14:paraId="029947D7">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p>
    <w:p w14:paraId="7B135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按照已审批通过的</w:t>
      </w: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rPr>
        <w:t>询价比选方案的要求,</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14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9</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00 </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519</w:t>
      </w:r>
      <w:r>
        <w:rPr>
          <w:rFonts w:hint="eastAsia" w:ascii="仿宋_GB2312" w:hAnsi="仿宋_GB2312" w:eastAsia="仿宋_GB2312" w:cs="仿宋_GB2312"/>
          <w:sz w:val="32"/>
          <w:szCs w:val="32"/>
        </w:rPr>
        <w:t>会议室召开会议，确定</w:t>
      </w: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rPr>
        <w:t>中选单位。</w:t>
      </w:r>
    </w:p>
    <w:p w14:paraId="225BD53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参与本次询价比选单位有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公司……。现将确定</w:t>
      </w: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rPr>
        <w:t>中选单位会议纪要如下:</w:t>
      </w:r>
    </w:p>
    <w:p w14:paraId="48C58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单位的资质条件</w:t>
      </w:r>
    </w:p>
    <w:p w14:paraId="07CB1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公司未达到询价比选方案中的资质要求外，其余参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单位均达到要求。</w:t>
      </w:r>
    </w:p>
    <w:p w14:paraId="4F3EDB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二、中选单位的确定原则</w:t>
      </w:r>
    </w:p>
    <w:p w14:paraId="20914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rPr>
        <w:t>询价比选方案中明确中选单位的确定原则为</w:t>
      </w: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w:t>
      </w:r>
    </w:p>
    <w:p w14:paraId="667273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询价比选报价情况</w:t>
      </w:r>
    </w:p>
    <w:p w14:paraId="69FA7AA9">
      <w:pPr>
        <w:pStyle w:val="10"/>
        <w:widowControl w:val="0"/>
        <w:numPr>
          <w:ilvl w:val="0"/>
          <w:numId w:val="0"/>
        </w:numPr>
        <w:jc w:val="both"/>
        <w:rPr>
          <w:rFonts w:hint="eastAsia"/>
        </w:rPr>
      </w:pPr>
    </w:p>
    <w:tbl>
      <w:tblPr>
        <w:tblStyle w:val="8"/>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365"/>
        <w:gridCol w:w="1385"/>
        <w:gridCol w:w="1370"/>
      </w:tblGrid>
      <w:tr w14:paraId="2AC9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36" w:type="dxa"/>
            <w:vAlign w:val="top"/>
          </w:tcPr>
          <w:p w14:paraId="608D0C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4365" w:type="dxa"/>
            <w:vAlign w:val="center"/>
          </w:tcPr>
          <w:p w14:paraId="6E788A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5" w:type="dxa"/>
            <w:vAlign w:val="top"/>
          </w:tcPr>
          <w:p w14:paraId="6FDA8F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14:paraId="709C66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370" w:type="dxa"/>
            <w:vAlign w:val="center"/>
          </w:tcPr>
          <w:p w14:paraId="2B094B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签字确认</w:t>
            </w:r>
          </w:p>
        </w:tc>
      </w:tr>
      <w:tr w14:paraId="4870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70F835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365" w:type="dxa"/>
            <w:vAlign w:val="top"/>
          </w:tcPr>
          <w:p w14:paraId="1E4CF5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09A11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2ADB94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35FC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1B5B80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365" w:type="dxa"/>
            <w:vAlign w:val="top"/>
          </w:tcPr>
          <w:p w14:paraId="22B6B9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711351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65BA0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5766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21DB8C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365" w:type="dxa"/>
            <w:vAlign w:val="top"/>
          </w:tcPr>
          <w:p w14:paraId="67D56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49FAB5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711C56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7ED1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2A31EA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365" w:type="dxa"/>
            <w:vAlign w:val="top"/>
          </w:tcPr>
          <w:p w14:paraId="197A71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78B3F9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5E3E6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14:paraId="5D193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经评审</w:t>
      </w:r>
      <w:r>
        <w:rPr>
          <w:rFonts w:hint="eastAsia" w:ascii="仿宋_GB2312" w:hAnsi="仿宋_GB2312" w:eastAsia="仿宋_GB2312" w:cs="仿宋_GB2312"/>
          <w:sz w:val="32"/>
          <w:szCs w:val="32"/>
        </w:rPr>
        <w:t>确定的参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单位排名及建议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中选单位</w:t>
      </w:r>
    </w:p>
    <w:p w14:paraId="4678A6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按照中选单位确定原则</w:t>
      </w:r>
      <w:r>
        <w:rPr>
          <w:rFonts w:hint="eastAsia" w:ascii="仿宋_GB2312" w:hAnsi="仿宋_GB2312" w:eastAsia="仿宋_GB2312" w:cs="仿宋_GB2312"/>
          <w:sz w:val="32"/>
          <w:szCs w:val="32"/>
          <w:lang w:eastAsia="zh-CN"/>
        </w:rPr>
        <w:t>（评审计分表见附件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单位的排名如下表所示:</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4613"/>
        <w:gridCol w:w="1387"/>
        <w:gridCol w:w="1525"/>
      </w:tblGrid>
      <w:tr w14:paraId="2210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top"/>
          </w:tcPr>
          <w:p w14:paraId="4B7D57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排名</w:t>
            </w:r>
          </w:p>
        </w:tc>
        <w:tc>
          <w:tcPr>
            <w:tcW w:w="4613" w:type="dxa"/>
            <w:vAlign w:val="center"/>
          </w:tcPr>
          <w:p w14:paraId="78D521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7" w:type="dxa"/>
            <w:vAlign w:val="top"/>
          </w:tcPr>
          <w:p w14:paraId="508F15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14:paraId="0D513F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525" w:type="dxa"/>
            <w:vAlign w:val="top"/>
          </w:tcPr>
          <w:p w14:paraId="731CB4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最终得分</w:t>
            </w:r>
          </w:p>
        </w:tc>
      </w:tr>
      <w:tr w14:paraId="54C7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vAlign w:val="top"/>
          </w:tcPr>
          <w:p w14:paraId="36ABB9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13" w:type="dxa"/>
            <w:vAlign w:val="top"/>
          </w:tcPr>
          <w:p w14:paraId="381B9F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3CE6C6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492707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151E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0" w:type="dxa"/>
            <w:vAlign w:val="top"/>
          </w:tcPr>
          <w:p w14:paraId="1022B7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13" w:type="dxa"/>
            <w:vAlign w:val="top"/>
          </w:tcPr>
          <w:p w14:paraId="0AA26B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4B9404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206E0B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4940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14:paraId="1D94EA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13" w:type="dxa"/>
            <w:vAlign w:val="top"/>
          </w:tcPr>
          <w:p w14:paraId="29FF66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5D5F7C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19CCF1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167C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14:paraId="73CCD7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13" w:type="dxa"/>
            <w:vAlign w:val="top"/>
          </w:tcPr>
          <w:p w14:paraId="01B95E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4E12A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6BF4A3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14:paraId="0C8E4D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同时评委建议</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为本次项目的中选单位。</w:t>
      </w:r>
    </w:p>
    <w:p w14:paraId="59E737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1B5055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481D80E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03F001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04D93135">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参加比选单位人员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4"/>
        <w:gridCol w:w="3124"/>
      </w:tblGrid>
      <w:tr w14:paraId="773B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466920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单位名称</w:t>
            </w:r>
          </w:p>
        </w:tc>
        <w:tc>
          <w:tcPr>
            <w:tcW w:w="3124" w:type="dxa"/>
            <w:vAlign w:val="top"/>
          </w:tcPr>
          <w:p w14:paraId="3F73F9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人员签名及联系方式</w:t>
            </w:r>
          </w:p>
        </w:tc>
      </w:tr>
      <w:tr w14:paraId="301E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0657BD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3DAF22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52FC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5EB414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65509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3F7F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6F0BEA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7442A9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3917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5D1184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5AC10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14:paraId="373F0D41">
      <w:pPr>
        <w:pStyle w:val="2"/>
        <w:rPr>
          <w:rFonts w:hint="eastAsia"/>
        </w:rPr>
      </w:pPr>
    </w:p>
    <w:p w14:paraId="3015FA7B">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评委成员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1"/>
        <w:gridCol w:w="2797"/>
      </w:tblGrid>
      <w:tr w14:paraId="26B2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tcPr>
          <w:p w14:paraId="75383B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单位或部门名称</w:t>
            </w:r>
          </w:p>
        </w:tc>
        <w:tc>
          <w:tcPr>
            <w:tcW w:w="2797" w:type="dxa"/>
          </w:tcPr>
          <w:p w14:paraId="17C68B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w:t>
            </w:r>
          </w:p>
        </w:tc>
      </w:tr>
      <w:tr w14:paraId="5A7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3C3460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工程管理部</w:t>
            </w:r>
          </w:p>
        </w:tc>
        <w:tc>
          <w:tcPr>
            <w:tcW w:w="2797" w:type="dxa"/>
          </w:tcPr>
          <w:p w14:paraId="3EAA2E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3CFC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3EB6B9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财务融资部</w:t>
            </w:r>
          </w:p>
        </w:tc>
        <w:tc>
          <w:tcPr>
            <w:tcW w:w="2797" w:type="dxa"/>
          </w:tcPr>
          <w:p w14:paraId="639AC3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5DFB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09E646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风控审计部</w:t>
            </w:r>
          </w:p>
        </w:tc>
        <w:tc>
          <w:tcPr>
            <w:tcW w:w="2797" w:type="dxa"/>
          </w:tcPr>
          <w:p w14:paraId="2C3099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155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339313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项目前期部</w:t>
            </w:r>
          </w:p>
        </w:tc>
        <w:tc>
          <w:tcPr>
            <w:tcW w:w="2797" w:type="dxa"/>
          </w:tcPr>
          <w:p w14:paraId="297F36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39C8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2FB1D2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项目前期部</w:t>
            </w:r>
          </w:p>
        </w:tc>
        <w:tc>
          <w:tcPr>
            <w:tcW w:w="2797" w:type="dxa"/>
          </w:tcPr>
          <w:p w14:paraId="753107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14:paraId="0E295012">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监督人员</w:t>
      </w:r>
    </w:p>
    <w:p w14:paraId="0713A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纪检监察室（</w:t>
      </w:r>
      <w:r>
        <w:rPr>
          <w:rFonts w:hint="eastAsia" w:ascii="仿宋_GB2312" w:hAnsi="仿宋_GB2312" w:eastAsia="仿宋_GB2312" w:cs="仿宋_GB2312"/>
          <w:sz w:val="32"/>
          <w:szCs w:val="32"/>
        </w:rPr>
        <w:t>或监事会成员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9B60F2D">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现场记录人员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p w14:paraId="1F68C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项目前期</w:t>
      </w:r>
      <w:r>
        <w:rPr>
          <w:rFonts w:hint="eastAsia" w:ascii="仿宋_GB2312" w:hAnsi="仿宋_GB2312" w:eastAsia="仿宋_GB2312" w:cs="仿宋_GB2312"/>
          <w:sz w:val="32"/>
          <w:szCs w:val="32"/>
        </w:rPr>
        <w:t>部:</w:t>
      </w:r>
    </w:p>
    <w:p w14:paraId="571B96A4">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61355CD6">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522CFAB7">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14:paraId="195DDD68">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sz w:val="32"/>
          <w:szCs w:val="32"/>
        </w:rPr>
        <w:t>投标报价评审计分表</w:t>
      </w:r>
    </w:p>
    <w:tbl>
      <w:tblPr>
        <w:tblStyle w:val="7"/>
        <w:tblW w:w="96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997"/>
        <w:gridCol w:w="1209"/>
        <w:gridCol w:w="1657"/>
        <w:gridCol w:w="1457"/>
        <w:gridCol w:w="2394"/>
      </w:tblGrid>
      <w:tr w14:paraId="2756C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30" w:type="dxa"/>
            <w:tcBorders>
              <w:top w:val="single" w:color="auto" w:sz="12" w:space="0"/>
              <w:left w:val="single" w:color="auto" w:sz="12" w:space="0"/>
              <w:bottom w:val="single" w:color="auto" w:sz="4" w:space="0"/>
              <w:right w:val="single" w:color="auto" w:sz="4" w:space="0"/>
            </w:tcBorders>
            <w:noWrap w:val="0"/>
            <w:vAlign w:val="center"/>
          </w:tcPr>
          <w:p w14:paraId="19154F90">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3206" w:type="dxa"/>
            <w:gridSpan w:val="2"/>
            <w:tcBorders>
              <w:top w:val="single" w:color="auto" w:sz="12" w:space="0"/>
              <w:left w:val="single" w:color="auto" w:sz="4" w:space="0"/>
              <w:bottom w:val="single" w:color="auto" w:sz="4" w:space="0"/>
              <w:right w:val="single" w:color="auto" w:sz="4" w:space="0"/>
            </w:tcBorders>
            <w:noWrap w:val="0"/>
            <w:vAlign w:val="center"/>
          </w:tcPr>
          <w:p w14:paraId="763AF1EE">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       目</w:t>
            </w:r>
          </w:p>
        </w:tc>
        <w:tc>
          <w:tcPr>
            <w:tcW w:w="1657" w:type="dxa"/>
            <w:tcBorders>
              <w:top w:val="single" w:color="auto" w:sz="12" w:space="0"/>
              <w:left w:val="single" w:color="auto" w:sz="4" w:space="0"/>
              <w:bottom w:val="single" w:color="auto" w:sz="4" w:space="0"/>
              <w:right w:val="single" w:color="auto" w:sz="4" w:space="0"/>
            </w:tcBorders>
            <w:noWrap w:val="0"/>
            <w:vAlign w:val="center"/>
          </w:tcPr>
          <w:p w14:paraId="7577344A">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评分标准</w:t>
            </w:r>
          </w:p>
        </w:tc>
        <w:tc>
          <w:tcPr>
            <w:tcW w:w="3851" w:type="dxa"/>
            <w:gridSpan w:val="2"/>
            <w:tcBorders>
              <w:top w:val="single" w:color="auto" w:sz="12" w:space="0"/>
              <w:left w:val="single" w:color="auto" w:sz="4" w:space="0"/>
              <w:bottom w:val="single" w:color="auto" w:sz="4" w:space="0"/>
              <w:right w:val="single" w:color="auto" w:sz="12" w:space="0"/>
            </w:tcBorders>
            <w:noWrap w:val="0"/>
            <w:vAlign w:val="center"/>
          </w:tcPr>
          <w:p w14:paraId="101A8194">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14:paraId="67B2B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56DBC5A3">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5F79439E">
            <w:pPr>
              <w:rPr>
                <w:rFonts w:hint="eastAsia" w:ascii="仿宋_GB2312" w:hAnsi="仿宋_GB2312" w:eastAsia="仿宋_GB2312" w:cs="仿宋_GB2312"/>
                <w:bCs/>
                <w:color w:val="000000"/>
                <w:sz w:val="24"/>
                <w:szCs w:val="24"/>
              </w:rPr>
            </w:pPr>
          </w:p>
          <w:p w14:paraId="2390D1F0">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5F20D5C0">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3882D35F">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从0开始每升1%减2分，即100-2*100X</w:t>
            </w:r>
          </w:p>
        </w:tc>
        <w:tc>
          <w:tcPr>
            <w:tcW w:w="3851" w:type="dxa"/>
            <w:gridSpan w:val="2"/>
            <w:vMerge w:val="restart"/>
            <w:tcBorders>
              <w:top w:val="single" w:color="auto" w:sz="4" w:space="0"/>
              <w:left w:val="single" w:color="auto" w:sz="4" w:space="0"/>
              <w:bottom w:val="single" w:color="auto" w:sz="4" w:space="0"/>
              <w:right w:val="single" w:color="auto" w:sz="12" w:space="0"/>
            </w:tcBorders>
            <w:noWrap w:val="0"/>
            <w:vAlign w:val="center"/>
          </w:tcPr>
          <w:p w14:paraId="606575FA">
            <w:pPr>
              <w:rPr>
                <w:rFonts w:hint="eastAsia" w:ascii="仿宋_GB2312" w:hAnsi="仿宋_GB2312" w:eastAsia="仿宋_GB2312" w:cs="仿宋_GB2312"/>
                <w:bCs/>
                <w:color w:val="000000"/>
                <w:sz w:val="21"/>
                <w:szCs w:val="21"/>
              </w:rPr>
            </w:pPr>
          </w:p>
          <w:p w14:paraId="02040953">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X为最终投标价升、降率百分点数的绝对值，即</w:t>
            </w:r>
          </w:p>
          <w:p w14:paraId="2FFBBC60">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100330</wp:posOffset>
                      </wp:positionV>
                      <wp:extent cx="3175" cy="510540"/>
                      <wp:effectExtent l="4445" t="0" r="7620" b="7620"/>
                      <wp:wrapNone/>
                      <wp:docPr id="4" name="直接连接符 4"/>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9pt;height:40.2pt;width:0.25pt;z-index:251662336;mso-width-relative:page;mso-height-relative:page;" filled="f" stroked="t" coordsize="21600,21600" o:gfxdata="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cDNr0QAAAAMBAAAPAAAAAAAAAAEAIAAAACIAAABkcnMvZG93bnJldi54bWxQSwECFAAU&#10;AAAACACHTuJAqSblPPgBAADmAwAADgAAAAAAAAABACAAAAAg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最终投标价</w:t>
            </w: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1191895</wp:posOffset>
                      </wp:positionH>
                      <wp:positionV relativeFrom="paragraph">
                        <wp:posOffset>75565</wp:posOffset>
                      </wp:positionV>
                      <wp:extent cx="635" cy="495300"/>
                      <wp:effectExtent l="4445" t="0" r="10160" b="7620"/>
                      <wp:wrapNone/>
                      <wp:docPr id="3" name="直接连接符 3"/>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93.85pt;margin-top:5.95pt;height:39pt;width:0.05pt;z-index:251661312;mso-width-relative:page;mso-height-relative:page;" filled="f" stroked="t" coordsize="21600,21600" o:gfxdata="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GhH20gAAAAkBAAAPAAAAAAAAAAEAIAAAACIAAABkcnMvZG93bnJl&#10;di54bWxQSwECFAAUAAAACACHTuJAgzHAgQMCAAD5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—基准价</w:t>
            </w:r>
          </w:p>
          <w:p w14:paraId="3DFA2E16">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73660</wp:posOffset>
                      </wp:positionV>
                      <wp:extent cx="863600" cy="0"/>
                      <wp:effectExtent l="0" t="5080" r="0" b="4445"/>
                      <wp:wrapNone/>
                      <wp:docPr id="1" name="直接连接符 1"/>
                      <wp:cNvGraphicFramePr/>
                      <a:graphic xmlns:a="http://schemas.openxmlformats.org/drawingml/2006/main">
                        <a:graphicData uri="http://schemas.microsoft.com/office/word/2010/wordprocessingShape">
                          <wps:wsp>
                            <wps:cNvCnPr/>
                            <wps:spPr>
                              <a:xfrm flipV="1">
                                <a:off x="0" y="0"/>
                                <a:ext cx="86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5.8pt;height:0pt;width:68pt;z-index:251660288;mso-width-relative:page;mso-height-relative:page;" filled="f" stroked="t" coordsize="21600,21600" o:gfxdata="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yYoZdMAAAAIAQAADwAAAAAAAAABACAAAAAiAAAAZHJzL2Rvd25yZXYueG1sUEsB&#10;AhQAFAAAAAgAh07iQHn4xWT6AQAA7Q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 xml:space="preserve">                  ×100%</w:t>
            </w:r>
          </w:p>
          <w:p w14:paraId="4CCD423C">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基准价</w:t>
            </w:r>
          </w:p>
        </w:tc>
      </w:tr>
      <w:tr w14:paraId="458BC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2BFBBFC4">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61EB0DBA">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1D813091">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100分</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28C4568">
            <w:pPr>
              <w:rPr>
                <w:rFonts w:hint="eastAsia" w:ascii="仿宋_GB2312" w:hAnsi="仿宋_GB2312" w:eastAsia="仿宋_GB2312" w:cs="仿宋_GB2312"/>
              </w:rPr>
            </w:pPr>
          </w:p>
        </w:tc>
      </w:tr>
      <w:tr w14:paraId="13C96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327CD399">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2DDDB838">
            <w:pPr>
              <w:rPr>
                <w:rFonts w:hint="eastAsia" w:ascii="仿宋_GB2312" w:hAnsi="仿宋_GB2312" w:eastAsia="仿宋_GB2312" w:cs="仿宋_GB2312"/>
                <w:bCs/>
                <w:color w:val="000000"/>
                <w:sz w:val="24"/>
                <w:szCs w:val="24"/>
              </w:rPr>
            </w:pPr>
          </w:p>
          <w:p w14:paraId="3525EF40">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2A265F49">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24EBDB66">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从0开始每降1%加1分，即100＋100X</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4AA0F7B">
            <w:pPr>
              <w:rPr>
                <w:rFonts w:hint="eastAsia" w:ascii="仿宋_GB2312" w:hAnsi="仿宋_GB2312" w:eastAsia="仿宋_GB2312" w:cs="仿宋_GB2312"/>
              </w:rPr>
            </w:pPr>
          </w:p>
        </w:tc>
      </w:tr>
      <w:tr w14:paraId="6963D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35193F9E">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F4AE320">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lang w:eastAsia="zh-CN"/>
              </w:rPr>
              <w:t>元</w:t>
            </w:r>
            <w:r>
              <w:rPr>
                <w:rFonts w:hint="eastAsia" w:ascii="仿宋_GB2312" w:hAnsi="仿宋_GB2312" w:eastAsia="仿宋_GB2312" w:cs="仿宋_GB2312"/>
                <w:bCs/>
                <w:color w:val="000000"/>
                <w:sz w:val="24"/>
                <w:szCs w:val="24"/>
                <w:lang w:val="en-US" w:eastAsia="zh-CN"/>
              </w:rPr>
              <w:t>)</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61BB8BF4">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基准价</w:t>
            </w:r>
            <w:r>
              <w:rPr>
                <w:rFonts w:hint="eastAsia" w:ascii="仿宋_GB2312" w:hAnsi="仿宋_GB2312" w:eastAsia="仿宋_GB2312" w:cs="仿宋_GB2312"/>
                <w:bCs/>
                <w:color w:val="000000"/>
                <w:sz w:val="24"/>
                <w:szCs w:val="24"/>
                <w:lang w:eastAsia="zh-CN"/>
              </w:rPr>
              <w:t>（元）</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327FB63">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X值</w:t>
            </w: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77FD559">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投标报价得分</w:t>
            </w:r>
          </w:p>
        </w:tc>
      </w:tr>
      <w:tr w14:paraId="71081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4A2B94EF">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8E02612">
            <w:pPr>
              <w:rPr>
                <w:rFonts w:hint="eastAsia" w:ascii="仿宋_GB2312" w:hAnsi="仿宋_GB2312" w:eastAsia="仿宋_GB2312" w:cs="仿宋_GB2312"/>
                <w:bCs/>
                <w:color w:val="000000"/>
                <w:sz w:val="24"/>
                <w:szCs w:val="24"/>
              </w:rPr>
            </w:pP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14:paraId="6E76AFDE">
            <w:pPr>
              <w:rPr>
                <w:rFonts w:hint="eastAsia" w:ascii="仿宋_GB2312" w:hAnsi="仿宋_GB2312" w:eastAsia="仿宋_GB2312" w:cs="仿宋_GB2312"/>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62E6B29">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7677E9EB">
            <w:pPr>
              <w:rPr>
                <w:rFonts w:hint="eastAsia" w:ascii="仿宋_GB2312" w:hAnsi="仿宋_GB2312" w:eastAsia="仿宋_GB2312" w:cs="仿宋_GB2312"/>
                <w:bCs/>
                <w:color w:val="000000"/>
                <w:sz w:val="24"/>
                <w:szCs w:val="24"/>
              </w:rPr>
            </w:pPr>
          </w:p>
        </w:tc>
      </w:tr>
      <w:tr w14:paraId="0D99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2DC67601">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3C70147">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21765E0E">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BE15EF5">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DE7FAB1">
            <w:pPr>
              <w:rPr>
                <w:rFonts w:hint="eastAsia" w:ascii="仿宋_GB2312" w:hAnsi="仿宋_GB2312" w:eastAsia="仿宋_GB2312" w:cs="仿宋_GB2312"/>
                <w:bCs/>
                <w:color w:val="000000"/>
                <w:sz w:val="24"/>
                <w:szCs w:val="24"/>
              </w:rPr>
            </w:pPr>
          </w:p>
        </w:tc>
      </w:tr>
      <w:tr w14:paraId="2799E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378915CB">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160D856">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199948F7">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C8D9A60">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281348D2">
            <w:pPr>
              <w:rPr>
                <w:rFonts w:hint="eastAsia" w:ascii="仿宋_GB2312" w:hAnsi="仿宋_GB2312" w:eastAsia="仿宋_GB2312" w:cs="仿宋_GB2312"/>
                <w:bCs/>
                <w:color w:val="000000"/>
                <w:sz w:val="24"/>
                <w:szCs w:val="24"/>
              </w:rPr>
            </w:pPr>
          </w:p>
        </w:tc>
      </w:tr>
      <w:tr w14:paraId="08D3B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6CAA186A">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BFED12D">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43FF737C">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E58955F">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4C441D7">
            <w:pPr>
              <w:rPr>
                <w:rFonts w:hint="eastAsia" w:ascii="仿宋_GB2312" w:hAnsi="仿宋_GB2312" w:eastAsia="仿宋_GB2312" w:cs="仿宋_GB2312"/>
                <w:bCs/>
                <w:color w:val="000000"/>
                <w:sz w:val="24"/>
                <w:szCs w:val="24"/>
              </w:rPr>
            </w:pPr>
          </w:p>
        </w:tc>
      </w:tr>
      <w:tr w14:paraId="2D177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44" w:type="dxa"/>
            <w:gridSpan w:val="6"/>
            <w:tcBorders>
              <w:top w:val="single" w:color="auto" w:sz="4" w:space="0"/>
              <w:left w:val="single" w:color="auto" w:sz="12" w:space="0"/>
              <w:bottom w:val="single" w:color="auto" w:sz="12" w:space="0"/>
              <w:right w:val="single" w:color="auto" w:sz="12" w:space="0"/>
            </w:tcBorders>
            <w:noWrap w:val="0"/>
            <w:vAlign w:val="center"/>
          </w:tcPr>
          <w:p w14:paraId="4586B904">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对投标报价的调整记录：</w:t>
            </w:r>
          </w:p>
        </w:tc>
      </w:tr>
    </w:tbl>
    <w:p w14:paraId="6FF1E1D7">
      <w:pPr>
        <w:ind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备注：1．投标报价得分，基本分100分。</w:t>
      </w:r>
    </w:p>
    <w:p w14:paraId="1DEE578B">
      <w:pPr>
        <w:numPr>
          <w:ilvl w:val="0"/>
          <w:numId w:val="3"/>
        </w:numPr>
        <w:ind w:left="834" w:leftChars="340" w:right="-332" w:rightChars="-158" w:hanging="120" w:hangingChars="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除经初步评审为不合格投标人（包括投标报价文件无效）的和被认定为最终投标报价低于其企业成本（</w:t>
      </w:r>
      <w:r>
        <w:rPr>
          <w:rFonts w:hint="eastAsia" w:ascii="仿宋_GB2312" w:hAnsi="仿宋_GB2312" w:eastAsia="仿宋_GB2312" w:cs="仿宋_GB2312"/>
          <w:b/>
          <w:bCs w:val="0"/>
          <w:color w:val="000000"/>
          <w:sz w:val="24"/>
          <w:szCs w:val="24"/>
        </w:rPr>
        <w:t>投标报价＜投标人有效报价算术平均值的90%，即判定为低于成本价</w:t>
      </w:r>
      <w:r>
        <w:rPr>
          <w:rFonts w:hint="eastAsia" w:ascii="仿宋_GB2312" w:hAnsi="仿宋_GB2312" w:eastAsia="仿宋_GB2312" w:cs="仿宋_GB2312"/>
          <w:bCs/>
          <w:color w:val="000000"/>
          <w:sz w:val="24"/>
          <w:szCs w:val="24"/>
        </w:rPr>
        <w:t>）的外，其他的最终投标报价均应按规定进入最终投标价的算术平均。</w:t>
      </w:r>
    </w:p>
    <w:p w14:paraId="037C9CB9">
      <w:pPr>
        <w:numPr>
          <w:ilvl w:val="0"/>
          <w:numId w:val="3"/>
        </w:numPr>
        <w:ind w:left="834" w:leftChars="340" w:right="-332" w:rightChars="-158" w:hanging="120" w:hangingChars="5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符合最高投标限价≥最终投标价≥0.9×最终投标价的算术平均值的最终投标价进入基准价计算。</w:t>
      </w:r>
    </w:p>
    <w:p w14:paraId="3C293810">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4．基准价公式： </w:t>
      </w:r>
    </w:p>
    <w:p w14:paraId="2776E423">
      <w:pPr>
        <w:ind w:right="-332" w:rightChars="-158" w:firstLine="2520" w:firstLineChars="10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1</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2</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i</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n</w:t>
      </w:r>
    </w:p>
    <w:p w14:paraId="1C70FE0F">
      <w:pPr>
        <w:ind w:right="-332" w:rightChars="-158" w:firstLine="1080" w:firstLineChars="4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33655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65pt;height:0pt;width:189pt;z-index:251663360;mso-width-relative:page;mso-height-relative:page;" filled="f" stroked="t" coordsize="21600,21600" o:gfxdata="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askG1QAAAAcBAAAPAAAAAAAAAAEAIAAAACIAAABkcnMvZG93bnJldi54bWxQSwECFAAU&#10;AAAACACHTuJAXkZeAfQBAADk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 xml:space="preserve">基准价=                N                </w:t>
      </w:r>
    </w:p>
    <w:p w14:paraId="067053F1">
      <w:pPr>
        <w:ind w:left="1082"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i=1…i…n; Ai为进入基准价计算的最终投标价; N为进入基准价计算的最终投标价的个数。</w:t>
      </w:r>
    </w:p>
    <w:p w14:paraId="5522829A">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．最终投标价以人民币元为单位，计算保留至小数点后2位（百分比亦然），小数点后第3位采取4舍5入。</w:t>
      </w:r>
    </w:p>
    <w:p w14:paraId="7A394553">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25BC9855">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14:paraId="1F8EC559">
      <w:pPr>
        <w:pStyle w:val="10"/>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投标文件组成（格式）</w:t>
      </w:r>
    </w:p>
    <w:p w14:paraId="09F46BD7">
      <w:pPr>
        <w:pStyle w:val="10"/>
        <w:jc w:val="center"/>
        <w:rPr>
          <w:rFonts w:hint="eastAsia" w:ascii="仿宋_GB2312" w:hAnsi="仿宋_GB2312" w:eastAsia="仿宋_GB2312" w:cs="仿宋_GB2312"/>
          <w:b/>
          <w:bCs/>
          <w:sz w:val="44"/>
          <w:szCs w:val="44"/>
          <w:lang w:eastAsia="zh-CN"/>
        </w:rPr>
      </w:pPr>
    </w:p>
    <w:p w14:paraId="627058C3">
      <w:pPr>
        <w:pStyle w:val="10"/>
        <w:numPr>
          <w:ilvl w:val="0"/>
          <w:numId w:val="4"/>
        </w:numPr>
        <w:ind w:left="0" w:leftChars="0" w:firstLine="723" w:firstLineChars="20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投标报价函</w:t>
      </w:r>
    </w:p>
    <w:p w14:paraId="309FE5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镇堂街（新农路—金星南路）道路新建工程》和《天华路（湘中大道—百宝街）新建工程》三阶段设计项目</w:t>
      </w:r>
      <w:r>
        <w:rPr>
          <w:rFonts w:hint="eastAsia" w:ascii="仿宋_GB2312" w:hAnsi="仿宋_GB2312" w:eastAsia="仿宋_GB2312" w:cs="仿宋_GB2312"/>
          <w:sz w:val="32"/>
          <w:szCs w:val="32"/>
          <w:lang w:eastAsia="zh-CN"/>
        </w:rPr>
        <w:t>。</w:t>
      </w:r>
    </w:p>
    <w:p w14:paraId="3B5C7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项目内容:</w:t>
      </w:r>
      <w:r>
        <w:rPr>
          <w:rFonts w:hint="eastAsia" w:ascii="仿宋_GB2312" w:hAnsi="仿宋_GB2312" w:eastAsia="仿宋_GB2312" w:cs="仿宋_GB2312"/>
          <w:sz w:val="32"/>
          <w:szCs w:val="32"/>
          <w:lang w:val="en-US" w:eastAsia="zh-CN"/>
        </w:rPr>
        <w:t>镇堂街(新农路-一金星南路)段西起新农路，东至金星南路，途经天华路、湄江路、民生路，全长 1094.663 米，道路设计路幅宽度为 30 米，为城市次干路，总体呈东西走向。天华路(湘中大道一百宝街)北起湘中大道，南至百宝街，途径竹南街富厚街，全长 726.965m，基本路幅宽 42 米，为城市次干路，总体呈南北走向。三阶段设计：方案设计、初步设计、施工图设计。</w:t>
      </w:r>
    </w:p>
    <w:p w14:paraId="2A528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14:paraId="2504D66C">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p>
    <w:p w14:paraId="77565D1D">
      <w:pPr>
        <w:numPr>
          <w:ilvl w:val="0"/>
          <w:numId w:val="0"/>
        </w:numPr>
        <w:ind w:firstLine="640" w:firstLineChars="200"/>
        <w:rPr>
          <w:rFonts w:hint="eastAsia" w:ascii="仿宋_GB2312" w:eastAsia="仿宋_GB2312"/>
          <w:color w:val="auto"/>
          <w:sz w:val="32"/>
          <w:szCs w:val="32"/>
          <w:u w:val="none"/>
          <w:lang w:val="en-US" w:eastAsia="zh-CN"/>
        </w:rPr>
      </w:pPr>
      <w:r>
        <w:rPr>
          <w:rFonts w:hint="eastAsia" w:ascii="仿宋_GB2312" w:eastAsia="仿宋_GB2312"/>
          <w:sz w:val="32"/>
          <w:szCs w:val="32"/>
          <w:u w:val="none"/>
          <w:lang w:val="en-US" w:eastAsia="zh-CN"/>
        </w:rPr>
        <w:t>1、</w:t>
      </w:r>
      <w:r>
        <w:rPr>
          <w:rFonts w:hint="eastAsia" w:ascii="仿宋_GB2312" w:hAnsi="仿宋_GB2312" w:eastAsia="仿宋_GB2312" w:cs="仿宋_GB2312"/>
          <w:sz w:val="32"/>
          <w:szCs w:val="32"/>
          <w:lang w:val="en-US" w:eastAsia="zh-CN"/>
        </w:rPr>
        <w:t>镇堂街（新农路—金星南路）道路新建工程设计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该项设计费用为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14:paraId="179887EA">
      <w:pPr>
        <w:numPr>
          <w:ilvl w:val="0"/>
          <w:numId w:val="0"/>
        </w:numPr>
        <w:ind w:firstLine="640" w:firstLineChars="200"/>
        <w:rPr>
          <w:rFonts w:hint="eastAsia" w:ascii="仿宋_GB2312" w:hAnsi="仿宋_GB2312" w:eastAsia="仿宋_GB2312" w:cs="仿宋_GB2312"/>
          <w:sz w:val="32"/>
          <w:szCs w:val="32"/>
          <w:u w:val="none"/>
          <w:lang w:val="en-US" w:eastAsia="zh-CN"/>
        </w:rPr>
      </w:pPr>
      <w:r>
        <w:rPr>
          <w:rFonts w:hint="eastAsia" w:ascii="仿宋_GB2312" w:eastAsia="仿宋_GB2312"/>
          <w:color w:val="auto"/>
          <w:sz w:val="32"/>
          <w:szCs w:val="32"/>
          <w:u w:val="none"/>
          <w:lang w:val="en-US" w:eastAsia="zh-CN"/>
        </w:rPr>
        <w:t>2、</w:t>
      </w:r>
      <w:r>
        <w:rPr>
          <w:rFonts w:hint="eastAsia" w:ascii="仿宋_GB2312" w:hAnsi="仿宋_GB2312" w:eastAsia="仿宋_GB2312" w:cs="仿宋_GB2312"/>
          <w:sz w:val="32"/>
          <w:szCs w:val="32"/>
          <w:lang w:val="en-US" w:eastAsia="zh-CN"/>
        </w:rPr>
        <w:t>天华路（湘中大道—百宝街）新建工程设计</w:t>
      </w:r>
      <w:r>
        <w:rPr>
          <w:rFonts w:hint="eastAsia" w:ascii="仿宋_GB2312" w:hAnsi="仿宋_GB2312" w:eastAsia="仿宋_GB2312" w:cs="仿宋_GB2312"/>
          <w:sz w:val="32"/>
          <w:szCs w:val="32"/>
          <w:u w:val="none"/>
          <w:lang w:val="en-US" w:eastAsia="zh-CN"/>
        </w:rPr>
        <w:t>项目</w:t>
      </w:r>
      <w:r>
        <w:rPr>
          <w:rFonts w:hint="eastAsia" w:ascii="仿宋_GB2312" w:eastAsia="仿宋_GB2312"/>
          <w:sz w:val="32"/>
          <w:szCs w:val="32"/>
          <w:u w:val="none"/>
          <w:lang w:eastAsia="zh-CN"/>
        </w:rPr>
        <w:t>：以项目建安工程费用为设计费用计算基数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该项设计费用</w:t>
      </w:r>
    </w:p>
    <w:p w14:paraId="1CA4E3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14:paraId="5AAED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CA45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单位提交的</w:t>
      </w:r>
      <w:r>
        <w:rPr>
          <w:rFonts w:hint="eastAsia" w:ascii="仿宋_GB2312" w:hAnsi="仿宋_GB2312" w:eastAsia="仿宋_GB2312" w:cs="仿宋_GB2312"/>
          <w:sz w:val="32"/>
          <w:szCs w:val="32"/>
          <w:lang w:val="en-US" w:eastAsia="zh-CN"/>
        </w:rPr>
        <w:t>合格的设计</w:t>
      </w:r>
      <w:r>
        <w:rPr>
          <w:rFonts w:hint="eastAsia" w:ascii="仿宋_GB2312" w:hAnsi="仿宋_GB2312" w:eastAsia="仿宋_GB2312" w:cs="仿宋_GB2312"/>
          <w:sz w:val="32"/>
          <w:szCs w:val="32"/>
          <w:lang w:eastAsia="zh-CN"/>
        </w:rPr>
        <w:t>成果之日起</w:t>
      </w:r>
      <w:r>
        <w:rPr>
          <w:rFonts w:hint="eastAsia" w:ascii="仿宋_GB2312" w:hAnsi="仿宋_GB2312" w:eastAsia="仿宋_GB2312" w:cs="仿宋_GB2312"/>
          <w:sz w:val="32"/>
          <w:szCs w:val="32"/>
          <w:lang w:val="en-US" w:eastAsia="zh-CN"/>
        </w:rPr>
        <w:t>30天内，向设计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支付85%的费用；余款在工程竣工之日起30天内，一次性支付完毕全部费用（由设计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提供合规税率6%的增值税发票）</w:t>
      </w:r>
      <w:r>
        <w:rPr>
          <w:rFonts w:hint="eastAsia" w:ascii="仿宋_GB2312" w:hAnsi="仿宋_GB2312" w:eastAsia="仿宋_GB2312" w:cs="仿宋_GB2312"/>
          <w:sz w:val="32"/>
          <w:szCs w:val="32"/>
          <w:lang w:eastAsia="zh-CN"/>
        </w:rPr>
        <w:t>。</w:t>
      </w:r>
    </w:p>
    <w:p w14:paraId="3239795F">
      <w:pPr>
        <w:pStyle w:val="1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（七）我方完全响应询价比选文件的相关条款。</w:t>
      </w:r>
    </w:p>
    <w:p w14:paraId="00113D4E">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参选单位：（盖单位章）</w:t>
      </w:r>
    </w:p>
    <w:p w14:paraId="61EC4CA7">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法定代表人或其委托代理人：（签字或盖章）</w:t>
      </w:r>
    </w:p>
    <w:p w14:paraId="7F11A4D9">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年   月  日</w:t>
      </w:r>
    </w:p>
    <w:p w14:paraId="37344FF9">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0A99149C">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34BE1218">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72FBB09B">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7A2304EE">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79A01C55">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128A429D">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43723351">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2A781001">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6696AC67">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3E09EF70">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授权委托相关资料（参会人员携带处于有效期内的第二代中华人名共和国居民身份证）</w:t>
      </w:r>
    </w:p>
    <w:p w14:paraId="272901CD">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2792E95D">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营业执照、资质证书等证明文件</w:t>
      </w:r>
    </w:p>
    <w:p w14:paraId="2351BFAC">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021793E8">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不良行为记录查询情况</w:t>
      </w:r>
    </w:p>
    <w:p w14:paraId="05D5F66E">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6C5F4198">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投标报价分项详细（若有）</w:t>
      </w:r>
    </w:p>
    <w:p w14:paraId="41F03A02">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667F9153">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4F0CEF19">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65BBC6B5">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7F7EF9E">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0AA6E70C">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718AEB1">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4F7835B">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1D4AC5C3">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56A123D4">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435D3B9">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BD97B74">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50CE7D0">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77099507">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3A224E35">
      <w:pPr>
        <w:pStyle w:val="10"/>
        <w:numPr>
          <w:ilvl w:val="0"/>
          <w:numId w:val="4"/>
        </w:numPr>
        <w:ind w:left="0" w:leftChars="0" w:firstLine="420" w:firstLineChars="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承诺书</w:t>
      </w:r>
    </w:p>
    <w:p w14:paraId="1ED7688B">
      <w:pPr>
        <w:pStyle w:val="12"/>
        <w:rPr>
          <w:rStyle w:val="9"/>
          <w:rFonts w:eastAsia="宋体" w:cs="Times New Roman"/>
          <w:lang w:val="en-US" w:eastAsia="zh-CN" w:bidi="ar-SA"/>
        </w:rPr>
      </w:pPr>
    </w:p>
    <w:p w14:paraId="1163027E">
      <w:pPr>
        <w:pStyle w:val="12"/>
        <w:snapToGrid w:val="0"/>
        <w:spacing w:line="360" w:lineRule="auto"/>
        <w:rPr>
          <w:rStyle w:val="9"/>
          <w:rFonts w:eastAsia="宋体" w:cs="Times New Roman"/>
          <w:lang w:val="en-US" w:eastAsia="zh-CN" w:bidi="ar-SA"/>
        </w:rPr>
      </w:pPr>
      <w:r>
        <w:rPr>
          <w:rStyle w:val="9"/>
          <w:rFonts w:hint="eastAsia" w:ascii="仿宋_GB2312" w:hAnsi="仿宋_GB2312" w:eastAsia="仿宋_GB2312" w:cs="仿宋_GB2312"/>
          <w:sz w:val="32"/>
          <w:szCs w:val="32"/>
          <w:u w:val="single"/>
          <w:lang w:val="en-US" w:eastAsia="zh-CN" w:bidi="ar-SA"/>
        </w:rPr>
        <w:t>娄底市万宝新区开发投资集团有限公司</w:t>
      </w:r>
      <w:r>
        <w:rPr>
          <w:rStyle w:val="9"/>
          <w:rFonts w:hint="eastAsia" w:ascii="仿宋_GB2312" w:hAnsi="仿宋_GB2312" w:eastAsia="仿宋_GB2312" w:cs="仿宋_GB2312"/>
          <w:sz w:val="32"/>
          <w:szCs w:val="32"/>
          <w:lang w:val="en-US" w:eastAsia="zh-CN" w:bidi="ar-SA"/>
        </w:rPr>
        <w:t>：</w:t>
      </w:r>
    </w:p>
    <w:p w14:paraId="774C5FE0">
      <w:pPr>
        <w:pStyle w:val="12"/>
        <w:snapToGrid w:val="0"/>
        <w:spacing w:line="360" w:lineRule="auto"/>
        <w:ind w:firstLine="640" w:firstLineChars="200"/>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我方就投标过程中涉及的相关事项向贵司做出郑重承诺，具体如下：</w:t>
      </w:r>
    </w:p>
    <w:p w14:paraId="1C0D46AD">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我方严格遵守相关法律法规规定，没有串通投标、资质挂靠等违法、违规行为，项目所投入的管理、技术人员均为我公司正式在职人员。</w:t>
      </w:r>
    </w:p>
    <w:p w14:paraId="10E6F76D">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我方保证提供的资质、信誉等证明材料真实、合法、有效，</w:t>
      </w:r>
      <w:r>
        <w:rPr>
          <w:rStyle w:val="9"/>
          <w:rFonts w:hint="eastAsia" w:ascii="仿宋_GB2312" w:hAnsi="仿宋_GB2312" w:eastAsia="仿宋_GB2312" w:cs="仿宋_GB2312"/>
          <w:sz w:val="32"/>
          <w:szCs w:val="32"/>
          <w:lang w:val="en-US" w:eastAsia="zh-CN" w:bidi="ar-SA"/>
        </w:rPr>
        <w:t>并愿意承担因我方就此弄虚作假所引起的一切后果。</w:t>
      </w:r>
    </w:p>
    <w:p w14:paraId="50A1ED53">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我方不参与不正当竞争，不向招标人、评标专家行贿以谋取不正当利益。</w:t>
      </w:r>
    </w:p>
    <w:p w14:paraId="3E8B02AC">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我方严格按照询价文件约定签订合同，不将中标项目转包或违法分包。</w:t>
      </w:r>
    </w:p>
    <w:p w14:paraId="2B4E685B">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上述承诺系我司真实意思表示，承诺做出后概不反悔。</w:t>
      </w:r>
    </w:p>
    <w:p w14:paraId="64FF1359">
      <w:pPr>
        <w:pStyle w:val="12"/>
        <w:keepNext w:val="0"/>
        <w:keepLines w:val="0"/>
        <w:pageBreakBefore w:val="0"/>
        <w:widowControl w:val="0"/>
        <w:numPr>
          <w:ilvl w:val="0"/>
          <w:numId w:val="0"/>
        </w:numPr>
        <w:tabs>
          <w:tab w:val="left" w:pos="397"/>
        </w:tabs>
        <w:kinsoku/>
        <w:wordWrap/>
        <w:overflowPunct/>
        <w:topLinePunct w:val="0"/>
        <w:autoSpaceDE/>
        <w:autoSpaceDN/>
        <w:bidi w:val="0"/>
        <w:adjustRightInd/>
        <w:snapToGrid w:val="0"/>
        <w:spacing w:line="360" w:lineRule="auto"/>
        <w:ind w:left="630" w:leftChars="0"/>
        <w:textAlignment w:val="auto"/>
        <w:rPr>
          <w:rStyle w:val="9"/>
          <w:rFonts w:hint="eastAsia" w:ascii="仿宋_GB2312" w:hAnsi="仿宋_GB2312" w:eastAsia="仿宋_GB2312" w:cs="仿宋_GB2312"/>
          <w:sz w:val="32"/>
          <w:szCs w:val="32"/>
          <w:lang w:val="sq-AL" w:eastAsia="zh-CN" w:bidi="ar-SA"/>
        </w:rPr>
      </w:pPr>
    </w:p>
    <w:p w14:paraId="00E18DF9">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w:t>
      </w:r>
      <w:r>
        <w:rPr>
          <w:rStyle w:val="9"/>
          <w:rFonts w:hint="eastAsia" w:ascii="仿宋_GB2312" w:hAnsi="仿宋_GB2312" w:eastAsia="仿宋_GB2312" w:cs="仿宋_GB2312"/>
          <w:sz w:val="32"/>
          <w:szCs w:val="32"/>
          <w:lang w:val="sq-AL" w:eastAsia="zh-CN" w:bidi="ar-SA"/>
        </w:rPr>
        <w:t>参选单位</w:t>
      </w:r>
      <w:r>
        <w:rPr>
          <w:rStyle w:val="9"/>
          <w:rFonts w:hint="eastAsia" w:ascii="仿宋_GB2312" w:hAnsi="仿宋_GB2312" w:eastAsia="仿宋_GB2312" w:cs="仿宋_GB2312"/>
          <w:sz w:val="32"/>
          <w:szCs w:val="32"/>
          <w:lang w:val="en-US" w:eastAsia="zh-CN" w:bidi="ar-SA"/>
        </w:rPr>
        <w:t>：（盖单位章）</w:t>
      </w:r>
    </w:p>
    <w:p w14:paraId="0EEE3393">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法定代表人：（签字或盖章）</w:t>
      </w:r>
    </w:p>
    <w:p w14:paraId="07FABC94">
      <w:pPr>
        <w:pStyle w:val="10"/>
        <w:numPr>
          <w:ilvl w:val="0"/>
          <w:numId w:val="0"/>
        </w:numPr>
        <w:ind w:left="420" w:leftChars="0"/>
        <w:jc w:val="center"/>
        <w:rPr>
          <w:rFonts w:hint="eastAsia" w:ascii="仿宋_GB2312" w:hAnsi="仿宋_GB2312" w:eastAsia="仿宋_GB2312" w:cs="仿宋_GB2312"/>
          <w:b/>
          <w:bCs/>
          <w:sz w:val="36"/>
          <w:szCs w:val="36"/>
          <w:lang w:eastAsia="zh-CN"/>
        </w:rPr>
      </w:pPr>
      <w:r>
        <w:rPr>
          <w:rStyle w:val="9"/>
          <w:rFonts w:hint="eastAsia" w:ascii="仿宋_GB2312" w:hAnsi="仿宋_GB2312" w:eastAsia="仿宋_GB2312" w:cs="仿宋_GB2312"/>
          <w:sz w:val="32"/>
          <w:szCs w:val="32"/>
          <w:lang w:val="en-US" w:eastAsia="zh-CN" w:bidi="ar-SA"/>
        </w:rPr>
        <w:t xml:space="preserve">                年   月  日</w:t>
      </w:r>
    </w:p>
    <w:p w14:paraId="3DD82EA5">
      <w:pPr>
        <w:pStyle w:val="10"/>
        <w:widowControl w:val="0"/>
        <w:numPr>
          <w:ilvl w:val="0"/>
          <w:numId w:val="0"/>
        </w:numPr>
        <w:jc w:val="center"/>
        <w:rPr>
          <w:rFonts w:hint="eastAsia" w:ascii="仿宋_GB2312" w:hAnsi="仿宋_GB2312" w:eastAsia="仿宋_GB2312" w:cs="仿宋_GB2312"/>
          <w:b/>
          <w:bCs/>
          <w:sz w:val="36"/>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E7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34E6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E34E6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BC552"/>
    <w:multiLevelType w:val="singleLevel"/>
    <w:tmpl w:val="BA9BC552"/>
    <w:lvl w:ilvl="0" w:tentative="0">
      <w:start w:val="2"/>
      <w:numFmt w:val="decimal"/>
      <w:suff w:val="nothing"/>
      <w:lvlText w:val="%1．"/>
      <w:lvlJc w:val="left"/>
    </w:lvl>
  </w:abstractNum>
  <w:abstractNum w:abstractNumId="1">
    <w:nsid w:val="176BED33"/>
    <w:multiLevelType w:val="singleLevel"/>
    <w:tmpl w:val="176BED33"/>
    <w:lvl w:ilvl="0" w:tentative="0">
      <w:start w:val="1"/>
      <w:numFmt w:val="chineseCounting"/>
      <w:suff w:val="nothing"/>
      <w:lvlText w:val="（%1）"/>
      <w:lvlJc w:val="left"/>
      <w:pPr>
        <w:ind w:left="0" w:firstLine="420"/>
      </w:pPr>
      <w:rPr>
        <w:rFonts w:hint="eastAsia"/>
      </w:rPr>
    </w:lvl>
  </w:abstractNum>
  <w:abstractNum w:abstractNumId="2">
    <w:nsid w:val="2F573302"/>
    <w:multiLevelType w:val="singleLevel"/>
    <w:tmpl w:val="2F573302"/>
    <w:lvl w:ilvl="0" w:tentative="0">
      <w:start w:val="11"/>
      <w:numFmt w:val="chineseCounting"/>
      <w:suff w:val="nothing"/>
      <w:lvlText w:val="%1、"/>
      <w:lvlJc w:val="left"/>
      <w:rPr>
        <w:rFonts w:hint="eastAsia"/>
      </w:rPr>
    </w:lvl>
  </w:abstractNum>
  <w:abstractNum w:abstractNumId="3">
    <w:nsid w:val="301655C5"/>
    <w:multiLevelType w:val="singleLevel"/>
    <w:tmpl w:val="301655C5"/>
    <w:lvl w:ilvl="0" w:tentative="0">
      <w:start w:val="1"/>
      <w:numFmt w:val="decimal"/>
      <w:suff w:val="nothing"/>
      <w:lvlText w:val="%1."/>
      <w:lvlJc w:val="left"/>
      <w:pPr>
        <w:tabs>
          <w:tab w:val="left" w:pos="397"/>
        </w:tabs>
        <w:ind w:left="444" w:leftChars="0" w:hanging="454" w:firstLineChars="0"/>
      </w:pPr>
      <w:rPr>
        <w:rFonts w:hint="default"/>
      </w:rPr>
    </w:lvl>
  </w:abstractNum>
  <w:abstractNum w:abstractNumId="4">
    <w:nsid w:val="6EFAFC9C"/>
    <w:multiLevelType w:val="singleLevel"/>
    <w:tmpl w:val="6EFAFC9C"/>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YjgyODg5ZDZmNmQzZmM5MjYxZTk5ZjhlN2E4MDkifQ=="/>
    <w:docVar w:name="KSO_WPS_MARK_KEY" w:val="372759b5-d9cf-4a00-a1e8-9bcd92316f65"/>
  </w:docVars>
  <w:rsids>
    <w:rsidRoot w:val="2BFC1ABD"/>
    <w:rsid w:val="004F7597"/>
    <w:rsid w:val="00A62369"/>
    <w:rsid w:val="00BF52BD"/>
    <w:rsid w:val="019A3EBD"/>
    <w:rsid w:val="02AD5741"/>
    <w:rsid w:val="02C657B1"/>
    <w:rsid w:val="04245B63"/>
    <w:rsid w:val="05B20F4D"/>
    <w:rsid w:val="061B11E8"/>
    <w:rsid w:val="06D36315"/>
    <w:rsid w:val="0742047E"/>
    <w:rsid w:val="087E7979"/>
    <w:rsid w:val="0A961C62"/>
    <w:rsid w:val="0AD80D95"/>
    <w:rsid w:val="0AF22EF3"/>
    <w:rsid w:val="0B66765F"/>
    <w:rsid w:val="0B6E7DFA"/>
    <w:rsid w:val="0BB5080F"/>
    <w:rsid w:val="0C2362E4"/>
    <w:rsid w:val="0C6D359E"/>
    <w:rsid w:val="0E14759B"/>
    <w:rsid w:val="0F5F3B04"/>
    <w:rsid w:val="0FA31024"/>
    <w:rsid w:val="0FC7797F"/>
    <w:rsid w:val="100F458C"/>
    <w:rsid w:val="10AE6F36"/>
    <w:rsid w:val="11B30526"/>
    <w:rsid w:val="11F76665"/>
    <w:rsid w:val="1221359B"/>
    <w:rsid w:val="13F70780"/>
    <w:rsid w:val="14033B64"/>
    <w:rsid w:val="140C1D99"/>
    <w:rsid w:val="14117786"/>
    <w:rsid w:val="14C307F1"/>
    <w:rsid w:val="14C842E9"/>
    <w:rsid w:val="15374902"/>
    <w:rsid w:val="15DE2644"/>
    <w:rsid w:val="16AF48BB"/>
    <w:rsid w:val="18A575F7"/>
    <w:rsid w:val="19307018"/>
    <w:rsid w:val="19B80596"/>
    <w:rsid w:val="1A4E169D"/>
    <w:rsid w:val="1AB10777"/>
    <w:rsid w:val="1B163BF5"/>
    <w:rsid w:val="1BBD09F3"/>
    <w:rsid w:val="1BFB19CA"/>
    <w:rsid w:val="1C47643B"/>
    <w:rsid w:val="1C4F709D"/>
    <w:rsid w:val="1C866A60"/>
    <w:rsid w:val="1D8908F7"/>
    <w:rsid w:val="1DC40631"/>
    <w:rsid w:val="1E154A8B"/>
    <w:rsid w:val="1E200CF1"/>
    <w:rsid w:val="1E3C6CD1"/>
    <w:rsid w:val="1EC1144A"/>
    <w:rsid w:val="1F1D7C18"/>
    <w:rsid w:val="20B8371A"/>
    <w:rsid w:val="2186506D"/>
    <w:rsid w:val="238B519C"/>
    <w:rsid w:val="23C2284B"/>
    <w:rsid w:val="23E34C9B"/>
    <w:rsid w:val="242A0B1C"/>
    <w:rsid w:val="2487128A"/>
    <w:rsid w:val="24D40F1E"/>
    <w:rsid w:val="25C83826"/>
    <w:rsid w:val="2694227D"/>
    <w:rsid w:val="26AC6C2D"/>
    <w:rsid w:val="26F35E32"/>
    <w:rsid w:val="27AF2929"/>
    <w:rsid w:val="2AFF72E7"/>
    <w:rsid w:val="2B2F1F82"/>
    <w:rsid w:val="2BFC1ABD"/>
    <w:rsid w:val="2C2D1909"/>
    <w:rsid w:val="2C471A47"/>
    <w:rsid w:val="2C4772F1"/>
    <w:rsid w:val="2CDD05EA"/>
    <w:rsid w:val="2CE17F35"/>
    <w:rsid w:val="2D371BB4"/>
    <w:rsid w:val="2E5F13C2"/>
    <w:rsid w:val="2F044911"/>
    <w:rsid w:val="2FE10940"/>
    <w:rsid w:val="30E22CDA"/>
    <w:rsid w:val="311513A0"/>
    <w:rsid w:val="3117209B"/>
    <w:rsid w:val="313C0EF4"/>
    <w:rsid w:val="318D1C13"/>
    <w:rsid w:val="32CE1E89"/>
    <w:rsid w:val="333861BF"/>
    <w:rsid w:val="33791178"/>
    <w:rsid w:val="343A34CB"/>
    <w:rsid w:val="35215A60"/>
    <w:rsid w:val="35B61D14"/>
    <w:rsid w:val="363268B0"/>
    <w:rsid w:val="364851C6"/>
    <w:rsid w:val="367354D8"/>
    <w:rsid w:val="384746B2"/>
    <w:rsid w:val="39477D26"/>
    <w:rsid w:val="396D7564"/>
    <w:rsid w:val="3A5026B3"/>
    <w:rsid w:val="3B5E12EE"/>
    <w:rsid w:val="3B831A7F"/>
    <w:rsid w:val="3BAC7C11"/>
    <w:rsid w:val="3C6A294F"/>
    <w:rsid w:val="3D8A19DC"/>
    <w:rsid w:val="3ECF4342"/>
    <w:rsid w:val="3ED91D85"/>
    <w:rsid w:val="3F8253A8"/>
    <w:rsid w:val="4049630A"/>
    <w:rsid w:val="41481B2B"/>
    <w:rsid w:val="419F549B"/>
    <w:rsid w:val="428C6BA0"/>
    <w:rsid w:val="42993F16"/>
    <w:rsid w:val="43157D68"/>
    <w:rsid w:val="460A5C60"/>
    <w:rsid w:val="465E757A"/>
    <w:rsid w:val="468122F3"/>
    <w:rsid w:val="46B902F3"/>
    <w:rsid w:val="47005456"/>
    <w:rsid w:val="47C36A0E"/>
    <w:rsid w:val="480370CE"/>
    <w:rsid w:val="484D62D8"/>
    <w:rsid w:val="485A61F2"/>
    <w:rsid w:val="48A27B42"/>
    <w:rsid w:val="49520049"/>
    <w:rsid w:val="49581D9D"/>
    <w:rsid w:val="499B539A"/>
    <w:rsid w:val="49BF449F"/>
    <w:rsid w:val="4A5448ED"/>
    <w:rsid w:val="4B1959DE"/>
    <w:rsid w:val="4B751DCD"/>
    <w:rsid w:val="4C102E3C"/>
    <w:rsid w:val="4C862EF8"/>
    <w:rsid w:val="4C9F60CD"/>
    <w:rsid w:val="4CBA02E4"/>
    <w:rsid w:val="4CCC4CB8"/>
    <w:rsid w:val="4D543D6B"/>
    <w:rsid w:val="4D873FB4"/>
    <w:rsid w:val="4EE16A6B"/>
    <w:rsid w:val="4F6B59C1"/>
    <w:rsid w:val="4FE55A96"/>
    <w:rsid w:val="50E84633"/>
    <w:rsid w:val="5108493A"/>
    <w:rsid w:val="51896DFD"/>
    <w:rsid w:val="53511372"/>
    <w:rsid w:val="535F3A8F"/>
    <w:rsid w:val="53C511DA"/>
    <w:rsid w:val="53DE514A"/>
    <w:rsid w:val="5447181C"/>
    <w:rsid w:val="54A4156D"/>
    <w:rsid w:val="55B81E36"/>
    <w:rsid w:val="563A28D4"/>
    <w:rsid w:val="564C3483"/>
    <w:rsid w:val="56A641D2"/>
    <w:rsid w:val="571A5B9E"/>
    <w:rsid w:val="57D7153B"/>
    <w:rsid w:val="583D61C9"/>
    <w:rsid w:val="593B7A93"/>
    <w:rsid w:val="59630066"/>
    <w:rsid w:val="59B84DF2"/>
    <w:rsid w:val="59D86349"/>
    <w:rsid w:val="5A046D93"/>
    <w:rsid w:val="5A0709DC"/>
    <w:rsid w:val="5A680BB7"/>
    <w:rsid w:val="5AF63B00"/>
    <w:rsid w:val="5B482B78"/>
    <w:rsid w:val="5B64716A"/>
    <w:rsid w:val="5C460BFA"/>
    <w:rsid w:val="5CF4592D"/>
    <w:rsid w:val="5E296976"/>
    <w:rsid w:val="5E3653EC"/>
    <w:rsid w:val="5E3D7196"/>
    <w:rsid w:val="5F21132D"/>
    <w:rsid w:val="5FD2383A"/>
    <w:rsid w:val="603A003B"/>
    <w:rsid w:val="6112606F"/>
    <w:rsid w:val="619744C9"/>
    <w:rsid w:val="61AE1836"/>
    <w:rsid w:val="63154AF4"/>
    <w:rsid w:val="63A675D8"/>
    <w:rsid w:val="645A1347"/>
    <w:rsid w:val="64C663B7"/>
    <w:rsid w:val="64DD3E16"/>
    <w:rsid w:val="64FF29BD"/>
    <w:rsid w:val="65426730"/>
    <w:rsid w:val="66992C53"/>
    <w:rsid w:val="669C2F6C"/>
    <w:rsid w:val="677551D7"/>
    <w:rsid w:val="68941249"/>
    <w:rsid w:val="68E471F3"/>
    <w:rsid w:val="68F63DE9"/>
    <w:rsid w:val="69256789"/>
    <w:rsid w:val="6B152326"/>
    <w:rsid w:val="6B5670CE"/>
    <w:rsid w:val="6B890C33"/>
    <w:rsid w:val="6B9E5AA9"/>
    <w:rsid w:val="6BDB3A77"/>
    <w:rsid w:val="6C6A77E5"/>
    <w:rsid w:val="6C7D4E30"/>
    <w:rsid w:val="6D1A412B"/>
    <w:rsid w:val="6D344751"/>
    <w:rsid w:val="6D663454"/>
    <w:rsid w:val="6ED92BA5"/>
    <w:rsid w:val="6F027E56"/>
    <w:rsid w:val="6F1A2A56"/>
    <w:rsid w:val="70313054"/>
    <w:rsid w:val="707A24F5"/>
    <w:rsid w:val="728961AA"/>
    <w:rsid w:val="72FE4894"/>
    <w:rsid w:val="733046A8"/>
    <w:rsid w:val="74013042"/>
    <w:rsid w:val="745F343C"/>
    <w:rsid w:val="746C6FEB"/>
    <w:rsid w:val="7597455A"/>
    <w:rsid w:val="75B93A72"/>
    <w:rsid w:val="75D92687"/>
    <w:rsid w:val="76791F82"/>
    <w:rsid w:val="78391CEC"/>
    <w:rsid w:val="783F1FBF"/>
    <w:rsid w:val="78507213"/>
    <w:rsid w:val="786C21D0"/>
    <w:rsid w:val="78AA1610"/>
    <w:rsid w:val="79587E0A"/>
    <w:rsid w:val="7A4E509D"/>
    <w:rsid w:val="7AD853DF"/>
    <w:rsid w:val="7B571F65"/>
    <w:rsid w:val="7B5D1DB2"/>
    <w:rsid w:val="7BB87930"/>
    <w:rsid w:val="7C247D84"/>
    <w:rsid w:val="7C4A219A"/>
    <w:rsid w:val="7C855A65"/>
    <w:rsid w:val="7CA27C33"/>
    <w:rsid w:val="7CDF7C7E"/>
    <w:rsid w:val="7D68620F"/>
    <w:rsid w:val="7D937730"/>
    <w:rsid w:val="7DDE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4"/>
      <w:szCs w:val="20"/>
    </w:rPr>
  </w:style>
  <w:style w:type="paragraph" w:styleId="3">
    <w:name w:val="Body Text Indent"/>
    <w:basedOn w:val="1"/>
    <w:next w:val="4"/>
    <w:autoRedefine/>
    <w:qFormat/>
    <w:uiPriority w:val="0"/>
    <w:pPr>
      <w:spacing w:after="120"/>
      <w:ind w:left="420" w:leftChars="200"/>
    </w:pPr>
  </w:style>
  <w:style w:type="paragraph" w:styleId="4">
    <w:name w:val="Body Text First Indent 2"/>
    <w:basedOn w:val="3"/>
    <w:next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autoRedefine/>
    <w:qFormat/>
    <w:uiPriority w:val="0"/>
    <w:pPr>
      <w:ind w:firstLine="420" w:firstLineChars="200"/>
    </w:pPr>
    <w:rPr>
      <w:kern w:val="0"/>
      <w:sz w:val="20"/>
    </w:rPr>
  </w:style>
  <w:style w:type="paragraph" w:customStyle="1" w:styleId="11">
    <w:name w:val="Normal_25"/>
    <w:autoRedefine/>
    <w:qFormat/>
    <w:uiPriority w:val="0"/>
    <w:rPr>
      <w:rFonts w:ascii="Times New Roman" w:hAnsi="Times New Roman" w:eastAsia="Times New Roman" w:cs="Times New Roman"/>
      <w:sz w:val="24"/>
      <w:szCs w:val="24"/>
    </w:rPr>
  </w:style>
  <w:style w:type="paragraph" w:customStyle="1" w:styleId="12">
    <w:name w:val="Normal_26"/>
    <w:autoRedefine/>
    <w:qFormat/>
    <w:uiPriority w:val="0"/>
    <w:pPr>
      <w:widowControl w:val="0"/>
      <w:jc w:val="both"/>
    </w:pPr>
    <w:rPr>
      <w:rFonts w:ascii="Times New Roman" w:hAnsi="Times New Roman" w:eastAsia="宋体" w:cs="Times New Roman"/>
      <w:kern w:val="2"/>
      <w:sz w:val="21"/>
      <w:szCs w:val="24"/>
    </w:rPr>
  </w:style>
  <w:style w:type="paragraph" w:customStyle="1" w:styleId="13">
    <w:name w:val="Normal_5"/>
    <w:autoRedefine/>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4189</Words>
  <Characters>4508</Characters>
  <Lines>0</Lines>
  <Paragraphs>0</Paragraphs>
  <TotalTime>8</TotalTime>
  <ScaleCrop>false</ScaleCrop>
  <LinksUpToDate>false</LinksUpToDate>
  <CharactersWithSpaces>4894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2022-07-14T09:32:00Z</dcterms:created>
  <dc:creator>Administrator</dc:creator>
  <cp:lastModifiedBy>磊</cp:lastModifiedBy>
  <cp:lastPrinted>2024-01-29T09:58:00Z</cp:lastPrinted>
  <dcterms:modified xsi:type="dcterms:W3CDTF">2024-10-10T00:49:26Z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A28D8255E8814A7682E0F8EAF4972801_13</vt:lpwstr>
  </property>
</Properties>
</file>