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丰园安置基地EPC总承包项目预算及结算审核费用询价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比选方案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此次询价比选项目名称为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该项目实施内容包括: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预算审核：对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EPC总承包单位编制的预算进行审核，并出具满足项目预算评审要求的审核报告；项目进行预算评审时，配合业主单位做好对审工作，完成预算评审并取得预算评审结论等。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结算审核：对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EPC总承包单位编制的结算进行审核，并出具满足项目结算评审要求的审核报告；项目进行结算评审时，配合业主单位做好对审工作，完成结算评审并取得结算评审结论等。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思考处12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最高限价及分项最高限价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最高限价金额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41.31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万元。其中，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安置基地EPC总承包项目预算审核分项最高限价为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15.33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结算审核分项最高限价为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25.98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四、参选单位数量及资质要求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本项目询价比选公告在我司官网进行发布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。参选单位为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家及以上；在载明截止时间，参选单位少于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家，将再次进行询价比选公告公示；在第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次载明截止时间，参选单位少于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家，我司按照资格审查、中选单位确定原则，择优确定中选单位。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在评选时进行资格审查，满足以下要求：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参选单位必须具有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工程造价咨询企业甲级资质证书（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2021年7月1日前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。参选单位提供企业营业执照、资质证书的复印件并盖公章。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不良信用记录。参选单位提供查询结果截图并盖公章。对列入失信被执行人、重大税收违法案件当事人名单、政府采购严重违法失信行为记录名单及其他不符合《中华人民共和国政府采购法》第二十二条规定条件的供应商，将拒绝其参与询价比选活动。信用信息查询的查询渠道：“信用中国”网站（www.creditchina.gov.cn）、中国政府采购网（www.ccgp.gov.cn）和湖南省政府采购网（www.ccgp-hunan.gov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五、报价函格式及主要内容要求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项目内容: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预算审核：对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EPC总承包单位编制的预算进行审核，并出具满足项目预算评审要求的审核报告；项目进行预算评审时，配合业主单位做对审工作，完成预算评审并取得预算评审结论等。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结算审核：对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EPC总承包单位编制的结算进行审核，并出具满足项目结算评审要求的审核报告；项目进行结算评审时，配合业主单位做对审工作，完成结算评审并取得结算评审结论等。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至项目出具结算评审结论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项目报价情况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含税金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）：我方兹以人民币（大写）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（小写）RMB￥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万元的金额进行报价。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安置基地EPC总承包项目预算审核分项最高限价为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结算审核分项最高限价为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参选单位进行一次报价，投标总价不得高于最高限价，分项报价不得超过分项最高限价，否则为不合格报价，作废标处理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付款方式:银行转账或承兑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付款条件:预付款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按合同金额的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30%进行计算，在合同签订完成后7天内进行支付；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出具丰园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置基地EPC总承包项目的正式财评结论后，支付到中标金额中的预算审核分项费用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结算审核主管部门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出具丰园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安置基地EPC总承包项目最终结算审定结论后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，按第五条（十二）款的约定进行费用结算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如果取消某项工作，则该项工作的总额价不予支付。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中标单位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因过错、违反合同或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中标单位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责任造成的违约，则这种违约引起的任何额外费用应由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中标单位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：预算审核报告、结算审核报告均应满足项目预算评审、结算评审的要求。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（十）关于最高限价的计算。预算审核分项最高限价，根据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EPC总承包单位编制的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项目预算送审金额按湘建价协〔2016〕25 号文计费的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60%进行计算。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结算审核分项最高限额，暂按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EPC总承包单位编制的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项目预算送审金额为基数，按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0.25%进行计算。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（十一）关于结算审核分项费用计算。如果EPC总承包单位编制的项目结算送审金额高于其编制的项目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预算送审金额，则结算审核分项费用按对应的中标分项费用执行；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如果EPC总承包单位编制的项目结算送审金额低于其编制的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预算送审金额，则结算审核分项费用计算基数按实核减，同时考虑投标时的优惠率（优惠率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=结算审核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分项中标价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/结算审核分项最高限价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（十二）关于结算审核费用的计算。中标人出具的结算审核金额与行政主管部门终审金额误差率控制在±3%之内（含3%）的，按中标金额中结算审核分项费用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计算费用；误差率超过±3%的，每增加一个百分点扣20%费用；误差率超过±8%的费用全扣。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六、询价比选会方式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单位现场参加询价比选会方式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法定代表人或其授权委托人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(携带授权委托书）参加。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七、询价比选会时间及地点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询价比选会定于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娄底市万宝新区开发投资集团有限公司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519会议室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八、询价比选评委人员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评委成员组成为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其中项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目前期部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、工程部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财务融资部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、风控审计部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九、询价比选监督人员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纪检监察室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十、询价比选中选单位确定原则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思考处1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合理低价法。计分规则见附件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，得分最高的为中选单位。若最高得分有并列的两家及以上单位，由评委会抽签确定中选单位。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参选单位在中选后与我司签订咨询服务合同。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投标文件格式，请按附件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2格式编制，原件一份，副本一份，胶装并密封。</w:t>
      </w: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关于确定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u w:val="single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中选单位会议纪要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按照已审批通过的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的询价比选方案的要求,建设单位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娄底市万宝新区开发投资集团有限公司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会议室主持召开会议，确定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中选单位。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参与本次询价比选单位有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。现将确定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中选单位会议纪要如下: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一、关于参标单位的资质条件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公司未达到询价比选方案中的资质要求外，其余参与单位均达到要求。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二、中选单位的确定原则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询价比选方案中明确中选单位的确定原则为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合理低价法。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询价比选现场报价情况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981"/>
        <w:gridCol w:w="155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参加单位</w:t>
            </w:r>
          </w:p>
        </w:tc>
        <w:tc>
          <w:tcPr>
            <w:tcW w:w="15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四、评委确定的参与单位排名及建议中选单位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按照中选单位确定原则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，根据评审计分表（附件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，经评委的慎重考虑，本次项目参与单位的排名如下表所示:</w:t>
      </w:r>
    </w:p>
    <w:tbl>
      <w:tblPr>
        <w:tblStyle w:val="7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492"/>
        <w:gridCol w:w="1457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参加单位</w:t>
            </w: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最终得分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同时评委建议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为本次项目的中选单位。</w:t>
      </w:r>
    </w:p>
    <w:p>
      <w:pPr>
        <w:pStyle w:val="2"/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参加比选单位人员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4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人员签名及联系方式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评委成员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9"/>
        <w:gridCol w:w="3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单位或部门名称</w:t>
            </w:r>
          </w:p>
        </w:tc>
        <w:tc>
          <w:tcPr>
            <w:tcW w:w="32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工程管理部</w:t>
            </w:r>
          </w:p>
        </w:tc>
        <w:tc>
          <w:tcPr>
            <w:tcW w:w="32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财务融资部</w:t>
            </w:r>
          </w:p>
        </w:tc>
        <w:tc>
          <w:tcPr>
            <w:tcW w:w="32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风控审计部</w:t>
            </w:r>
          </w:p>
        </w:tc>
        <w:tc>
          <w:tcPr>
            <w:tcW w:w="32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项目前期部</w:t>
            </w:r>
          </w:p>
        </w:tc>
        <w:tc>
          <w:tcPr>
            <w:tcW w:w="32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项目前期部</w:t>
            </w:r>
          </w:p>
        </w:tc>
        <w:tc>
          <w:tcPr>
            <w:tcW w:w="32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纪检监察室（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或监事会成员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现场记录人员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项目前期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投标报价评审计分表</w:t>
      </w:r>
    </w:p>
    <w:tbl>
      <w:tblPr>
        <w:tblStyle w:val="6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97"/>
        <w:gridCol w:w="1209"/>
        <w:gridCol w:w="1657"/>
        <w:gridCol w:w="1457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   目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最终投标价＞基准价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从0开始每升1%减2分，即100-2*100X</w:t>
            </w:r>
          </w:p>
        </w:tc>
        <w:tc>
          <w:tcPr>
            <w:tcW w:w="3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X为最终投标价升、降率百分点数的绝对值，即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100330</wp:posOffset>
                      </wp:positionV>
                      <wp:extent cx="3175" cy="510540"/>
                      <wp:effectExtent l="4445" t="0" r="11430" b="381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510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1pt;margin-top:7.9pt;height:40.2pt;width:0.25pt;z-index:251662336;mso-width-relative:page;mso-height-relative:page;" filled="f" stroked="t" coordsize="21600,21600" o:gfxdata="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cDNr0QAAAAMBAAAPAAAAAAAAAAEAIAAAACIAAABkcnMvZG93bnJldi54bWxQSwECFAAU&#10;AAAACACHTuJAqSblPPgBAADmAwAADgAAAAAAAAABACAAAAAg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最终投标价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75565</wp:posOffset>
                      </wp:positionV>
                      <wp:extent cx="635" cy="495300"/>
                      <wp:effectExtent l="4445" t="0" r="1397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3.85pt;margin-top:5.95pt;height:39pt;width:0.05pt;z-index:251661312;mso-width-relative:page;mso-height-relative:page;" filled="f" stroked="t" coordsize="21600,21600" o:gfxdata="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GhH20gAAAAkBAAAPAAAAAAAAAAEAIAAAACIAAABkcnMvZG93bnJl&#10;di54bWxQSwECFAAUAAAACACHTuJAgzHAgQMCAAD5AwAADgAAAAAAAAABACAAAAAh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—基准价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73660</wp:posOffset>
                      </wp:positionV>
                      <wp:extent cx="8636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3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6pt;margin-top:5.8pt;height:0pt;width:68pt;z-index:251660288;mso-width-relative:page;mso-height-relative:page;" filled="f" stroked="t" coordsize="21600,21600" o:gfxdata="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yYoZdMAAAAIAQAADwAAAAAAAAABACAAAAAiAAAAZHJzL2Rvd25yZXYueG1sUEsB&#10;AhQAFAAAAAgAh07iQHn4xWT6AQAA7QMAAA4AAAAAAAAAAQAgAAAAI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×100%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基准价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最终投标价=基准价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  <w:tc>
          <w:tcPr>
            <w:tcW w:w="3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最终投标价＜基准价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从0开始每降1%加1分，即100＋100X</w:t>
            </w:r>
          </w:p>
        </w:tc>
        <w:tc>
          <w:tcPr>
            <w:tcW w:w="3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最终投标价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基准价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X值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对投标报价的调整记录：</w:t>
            </w:r>
          </w:p>
        </w:tc>
      </w:tr>
    </w:tbl>
    <w:p>
      <w:pPr>
        <w:ind w:right="-332" w:rightChars="-158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备注：1．投标报价得分，基本分100分。</w:t>
      </w:r>
    </w:p>
    <w:p>
      <w:pPr>
        <w:numPr>
          <w:ilvl w:val="0"/>
          <w:numId w:val="6"/>
        </w:numPr>
        <w:ind w:left="834" w:leftChars="340" w:right="-332" w:rightChars="-158" w:hanging="120" w:hangingChars="5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除经初步评审为不合格投标人（包括投标报价文件无效）的和被认定为最终投标报价低于其企业成本（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投标报价＜投标人有效报价算术平均值的90%，即判定为低于成本价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）的外，其他的最终投标报价均应按规定进入最终投标价的算术平均。</w:t>
      </w:r>
    </w:p>
    <w:p>
      <w:pPr>
        <w:numPr>
          <w:ilvl w:val="0"/>
          <w:numId w:val="6"/>
        </w:numPr>
        <w:ind w:left="834" w:leftChars="340" w:right="-332" w:rightChars="-158" w:hanging="120" w:hangingChars="5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符合最高投标限价≥最终投标价≥0.9×最终投标价的算术平均值的最终投标价进入基准价计算。</w:t>
      </w:r>
    </w:p>
    <w:p>
      <w:pPr>
        <w:ind w:right="-332" w:rightChars="-158" w:firstLine="720" w:firstLineChars="30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4．基准价公式： </w:t>
      </w:r>
    </w:p>
    <w:p>
      <w:pPr>
        <w:ind w:right="-332" w:rightChars="-158" w:firstLine="2520" w:firstLineChars="105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+A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+……＋A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+……＋A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n</w:t>
      </w:r>
    </w:p>
    <w:p>
      <w:pPr>
        <w:ind w:right="-332" w:rightChars="-158" w:firstLine="1080" w:firstLineChars="45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2400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.65pt;height:0pt;width:189pt;z-index:251663360;mso-width-relative:page;mso-height-relative:page;" filled="f" stroked="t" coordsize="21600,21600" o:gfxdata="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6askG1QAAAAcBAAAPAAAAAAAAAAEAIAAAACIAAABkcnMvZG93bnJldi54bWxQSwECFAAU&#10;AAAACACHTuJAXkZeAf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基准价=                N                </w:t>
      </w:r>
    </w:p>
    <w:p>
      <w:pPr>
        <w:ind w:left="1082" w:right="-332" w:rightChars="-158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i=1…i…n; Ai为进入基准价计算的最终投标价; N为进入基准价计算的最终投标价的个数。</w:t>
      </w:r>
    </w:p>
    <w:p>
      <w:pPr>
        <w:ind w:right="-332" w:rightChars="-158" w:firstLine="720" w:firstLineChars="30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．最终投标价以人民币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为单位，计算保留至小数点后2位（百分比亦然），小数点后第3位采取4舍5入。</w:t>
      </w:r>
    </w:p>
    <w:p>
      <w:pP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投标文件组成（格式）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7"/>
        </w:numPr>
        <w:ind w:left="0" w:leftChars="0" w:firstLine="723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投标报价函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丰园安置基地EPC总承包项目预算及结算审核费用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项目内容: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预算审核：对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EPC总承包单位编制的预算进行审核，并出具满足项目预算评审要求的审核报告；项目进行预算评审时，配合业主单位做对审工作，完成预算评审并取得预算评审结论等。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结算审核：对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EPC总承包单位编制的结算进行审核，并出具满足项目结算评审要求的审核报告；项目进行结算评审时，配合业主单位做对审工作，完成结算评审并取得结算评审结论等。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至项目出具结算评审结论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项目报价情况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含税金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）：我方兹以人民币（大写）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（小写）RMB￥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万元的金额进行报价。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安置基地EPC总承包项目预算审核分项最高限价为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结算审核分项最高限价为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参选单位进行一次报价，投标总价不得高于最高限价，分项报价不得超过分项最高限价，否则为不合格报价，作废标处理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付款方式:银行转账或承兑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付款条件:预付款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按合同金额的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30%进行计算，在合同签订完成后7天内进行支付；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出具丰园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置基地EPC总承包项目的正式财评结论后，支付到中标金额中的预算审核分项费用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结算审核主管部门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出具丰园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安置基地EPC总承包项目最终结算审定结论后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，按第五条（十二）款的约定进行费用结算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如果取消某项工作，则该项工作的总额价不予支付。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中标单位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因过错、违反合同或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中标单位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责任造成的违约，则这种违约引起的任何额外费用应由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中标单位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：预算审核报告、结算审核报告均应满足项目预算评审、结算评审的要求。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（十）关于最高限价的计算。预算审核分项最高限价，根据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EPC总承包单位编制的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项目预算送审金额按湘建价协〔2016〕25 号文计费的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60%进行计算。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结算审核分项最高限额，暂按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EPC总承包单位编制的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项目预算送审金额为基数，按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0.25%进行计算。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（十一）关于结算审核分项费用计算。如果EPC总承包单位编制的项目结算送审金额高于其编制的项目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预算送审金额，则结算审核分项费用按对应的中标分项费用执行；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如果EPC总承包单位编制的项目结算送审金额低于其编制的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预算送审金额，则结算审核分项费用计算基数按实核减，同时考虑投标时的优惠率（优惠率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=结算审核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分项中标价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/结算审核分项最高限价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（十二）关于结算审核费用的计算。中标人出具的结算审核金额与行政主管部门终审金额误差率控制在±3%之内（含3%）的，按中标金额中结算审核分项费用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计算费用；误差率超过±3%的，每增加一个百分点扣20%费用；误差率超过±8%的费用全扣。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(十三）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我方完全响应询价比选文件的相关条款。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numPr>
          <w:ilvl w:val="0"/>
          <w:numId w:val="0"/>
        </w:numPr>
        <w:ind w:left="420" w:leftChars="0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pStyle w:val="9"/>
        <w:snapToGrid w:val="0"/>
        <w:spacing w:line="360" w:lineRule="auto"/>
        <w:ind w:firstLine="640" w:firstLineChars="200"/>
        <w:jc w:val="center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参选单位：（盖单位章）</w:t>
      </w:r>
    </w:p>
    <w:p>
      <w:pPr>
        <w:pStyle w:val="9"/>
        <w:snapToGrid w:val="0"/>
        <w:spacing w:line="360" w:lineRule="auto"/>
        <w:ind w:firstLine="640" w:firstLineChars="200"/>
        <w:jc w:val="right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法定代表人或其委托代理人：（签字或盖章）</w:t>
      </w:r>
    </w:p>
    <w:p>
      <w:pPr>
        <w:pStyle w:val="9"/>
        <w:tabs>
          <w:tab w:val="left" w:pos="5733"/>
        </w:tabs>
        <w:snapToGrid w:val="0"/>
        <w:spacing w:line="360" w:lineRule="auto"/>
        <w:ind w:firstLine="4480" w:firstLineChars="1400"/>
        <w:jc w:val="left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联系方式：</w:t>
      </w: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年   月  日</w:t>
      </w:r>
    </w:p>
    <w:p>
      <w:pP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7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授权委托相关资料（参会人员携带处于有效期内的第二代中华人民共和国居民身份证）</w:t>
      </w: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7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营业执照、资质证书等证明文件</w:t>
      </w: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7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不良行为记录查询情况</w:t>
      </w: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7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投标报价分项详细</w:t>
      </w: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7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pStyle w:val="9"/>
        <w:rPr>
          <w:rStyle w:val="8"/>
          <w:rFonts w:eastAsia="宋体" w:cs="Times New Roman"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9"/>
        <w:snapToGrid w:val="0"/>
        <w:spacing w:line="360" w:lineRule="auto"/>
        <w:rPr>
          <w:rStyle w:val="8"/>
          <w:rFonts w:eastAsia="宋体" w:cs="Times New Roman"/>
          <w:color w:val="000000" w:themeColor="text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娄底市万宝新区开发投资集团有限公司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>
      <w:pPr>
        <w:pStyle w:val="9"/>
        <w:snapToGrid w:val="0"/>
        <w:spacing w:line="360" w:lineRule="auto"/>
        <w:ind w:firstLine="640" w:firstLineChars="200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我方就投标过程中涉及的相关事项向贵司做出郑重承诺，具体如下：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  <w:t>我方严格遵守相关法律法规规定，没有串通投标、资质挂靠等违法、违规行为，项目所投入的管理、技术人员均为我公司正式在职人员。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  <w:t>我方保证提供的资质、信誉等证明材料真实、合法、有效，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并愿意承担因我方就此弄虚作假所引起的一切后果。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  <w:t>我方不参与不正当竞争，不向招标人、评标专家行贿以谋取不正当利益。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  <w:t>我方严格按照询价文件约定签订合同，不将中标项目转包或违法分包。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  <w:t>上述承诺系我司真实意思表示，承诺做出后概不反悔。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0" w:leftChars="0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9"/>
        <w:snapToGrid w:val="0"/>
        <w:spacing w:line="360" w:lineRule="auto"/>
        <w:ind w:firstLine="640" w:firstLineChars="200"/>
        <w:jc w:val="center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sq-AL" w:eastAsia="zh-CN" w:bidi="ar-SA"/>
          <w14:textFill>
            <w14:solidFill>
              <w14:schemeClr w14:val="tx1"/>
            </w14:solidFill>
          </w14:textFill>
        </w:rPr>
        <w:t>参选单位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：（盖单位章）</w:t>
      </w:r>
    </w:p>
    <w:p>
      <w:pPr>
        <w:pStyle w:val="9"/>
        <w:snapToGrid w:val="0"/>
        <w:spacing w:line="360" w:lineRule="auto"/>
        <w:ind w:firstLine="640" w:firstLineChars="200"/>
        <w:jc w:val="right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pStyle w:val="2"/>
        <w:numPr>
          <w:ilvl w:val="0"/>
          <w:numId w:val="0"/>
        </w:numPr>
        <w:ind w:left="420" w:leftChars="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年   月  日</w:t>
      </w:r>
    </w:p>
    <w:p>
      <w:pPr>
        <w:pStyle w:val="2"/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1B1CC"/>
    <w:multiLevelType w:val="singleLevel"/>
    <w:tmpl w:val="A251B1CC"/>
    <w:lvl w:ilvl="0" w:tentative="0">
      <w:start w:val="3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1">
    <w:nsid w:val="BA9BC552"/>
    <w:multiLevelType w:val="singleLevel"/>
    <w:tmpl w:val="BA9BC552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BBE0CBA9"/>
    <w:multiLevelType w:val="singleLevel"/>
    <w:tmpl w:val="BBE0CB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09A49C0"/>
    <w:multiLevelType w:val="singleLevel"/>
    <w:tmpl w:val="F09A49C0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40"/>
      </w:pPr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4">
    <w:nsid w:val="176BED33"/>
    <w:multiLevelType w:val="singleLevel"/>
    <w:tmpl w:val="176BED3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AD9141B"/>
    <w:multiLevelType w:val="singleLevel"/>
    <w:tmpl w:val="2AD9141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F573302"/>
    <w:multiLevelType w:val="singleLevel"/>
    <w:tmpl w:val="2F573302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01655C5"/>
    <w:multiLevelType w:val="singleLevel"/>
    <w:tmpl w:val="301655C5"/>
    <w:lvl w:ilvl="0" w:tentative="0">
      <w:start w:val="1"/>
      <w:numFmt w:val="decimal"/>
      <w:suff w:val="nothing"/>
      <w:lvlText w:val="%1."/>
      <w:lvlJc w:val="left"/>
      <w:pPr>
        <w:tabs>
          <w:tab w:val="left" w:pos="397"/>
        </w:tabs>
        <w:ind w:left="444" w:leftChars="0" w:hanging="454" w:firstLineChars="0"/>
      </w:pPr>
      <w:rPr>
        <w:rFonts w:hint="default"/>
      </w:rPr>
    </w:lvl>
  </w:abstractNum>
  <w:abstractNum w:abstractNumId="8">
    <w:nsid w:val="6EFAFC9C"/>
    <w:multiLevelType w:val="singleLevel"/>
    <w:tmpl w:val="6EFAFC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Dk1ZjY5Zjk0OWQwMzE0Y2ExOTQwMDNhMzY3ZjEifQ=="/>
    <w:docVar w:name="KSO_WPS_MARK_KEY" w:val="4ada4f70-1806-45bb-8f4e-685ee069abb9"/>
  </w:docVars>
  <w:rsids>
    <w:rsidRoot w:val="2BFC1ABD"/>
    <w:rsid w:val="004E67B3"/>
    <w:rsid w:val="006E5FD8"/>
    <w:rsid w:val="00A62369"/>
    <w:rsid w:val="014707D5"/>
    <w:rsid w:val="01DD4A07"/>
    <w:rsid w:val="02AD5741"/>
    <w:rsid w:val="02F409E3"/>
    <w:rsid w:val="04245B63"/>
    <w:rsid w:val="05566B2A"/>
    <w:rsid w:val="05BE137A"/>
    <w:rsid w:val="061B11E8"/>
    <w:rsid w:val="06E93E47"/>
    <w:rsid w:val="0742047E"/>
    <w:rsid w:val="08983068"/>
    <w:rsid w:val="08C600CE"/>
    <w:rsid w:val="093B655A"/>
    <w:rsid w:val="098701D3"/>
    <w:rsid w:val="0B065FC2"/>
    <w:rsid w:val="0B1C41CE"/>
    <w:rsid w:val="0C3A5FD8"/>
    <w:rsid w:val="0C966A7D"/>
    <w:rsid w:val="0D7771C7"/>
    <w:rsid w:val="0D911AD1"/>
    <w:rsid w:val="0E272DDC"/>
    <w:rsid w:val="0F602F9D"/>
    <w:rsid w:val="0FA31024"/>
    <w:rsid w:val="114007C9"/>
    <w:rsid w:val="1221359B"/>
    <w:rsid w:val="12E876A0"/>
    <w:rsid w:val="13190B03"/>
    <w:rsid w:val="13F70780"/>
    <w:rsid w:val="14117786"/>
    <w:rsid w:val="1509227B"/>
    <w:rsid w:val="152C6660"/>
    <w:rsid w:val="16662129"/>
    <w:rsid w:val="166661E0"/>
    <w:rsid w:val="18392655"/>
    <w:rsid w:val="18743DC9"/>
    <w:rsid w:val="19D32A59"/>
    <w:rsid w:val="1A4E169D"/>
    <w:rsid w:val="1A573880"/>
    <w:rsid w:val="1A9E194E"/>
    <w:rsid w:val="1AA07A2A"/>
    <w:rsid w:val="1BBD09F3"/>
    <w:rsid w:val="1C47643B"/>
    <w:rsid w:val="1C866A60"/>
    <w:rsid w:val="1D8908F7"/>
    <w:rsid w:val="1E154A8B"/>
    <w:rsid w:val="1E815B99"/>
    <w:rsid w:val="210C071C"/>
    <w:rsid w:val="22704963"/>
    <w:rsid w:val="238B519C"/>
    <w:rsid w:val="2487128A"/>
    <w:rsid w:val="24BC2888"/>
    <w:rsid w:val="2582242A"/>
    <w:rsid w:val="25C83826"/>
    <w:rsid w:val="25CE486A"/>
    <w:rsid w:val="265C3C9B"/>
    <w:rsid w:val="26E864D7"/>
    <w:rsid w:val="26F35E32"/>
    <w:rsid w:val="27C62DE2"/>
    <w:rsid w:val="284E223D"/>
    <w:rsid w:val="290865A4"/>
    <w:rsid w:val="2AFD5C8C"/>
    <w:rsid w:val="2B3C438D"/>
    <w:rsid w:val="2BFC1ABD"/>
    <w:rsid w:val="2C471A47"/>
    <w:rsid w:val="2CEF2A2A"/>
    <w:rsid w:val="2D98665D"/>
    <w:rsid w:val="2DD13DB6"/>
    <w:rsid w:val="2E883050"/>
    <w:rsid w:val="2EEE2746"/>
    <w:rsid w:val="318D1C13"/>
    <w:rsid w:val="31AB75E1"/>
    <w:rsid w:val="32B11565"/>
    <w:rsid w:val="333861BF"/>
    <w:rsid w:val="33791178"/>
    <w:rsid w:val="367354D8"/>
    <w:rsid w:val="3691279D"/>
    <w:rsid w:val="36D14031"/>
    <w:rsid w:val="37982CF8"/>
    <w:rsid w:val="3C0543A3"/>
    <w:rsid w:val="3C6A294F"/>
    <w:rsid w:val="3D2C74EF"/>
    <w:rsid w:val="3DE548D3"/>
    <w:rsid w:val="3ECF4342"/>
    <w:rsid w:val="3ED91D85"/>
    <w:rsid w:val="3F8253A8"/>
    <w:rsid w:val="40157F22"/>
    <w:rsid w:val="401F7C1E"/>
    <w:rsid w:val="419F549B"/>
    <w:rsid w:val="428C6BA0"/>
    <w:rsid w:val="4334707F"/>
    <w:rsid w:val="4343773C"/>
    <w:rsid w:val="436F505B"/>
    <w:rsid w:val="45510DF1"/>
    <w:rsid w:val="465E757A"/>
    <w:rsid w:val="475E2055"/>
    <w:rsid w:val="47CD5BE5"/>
    <w:rsid w:val="47FD0A48"/>
    <w:rsid w:val="483E1C04"/>
    <w:rsid w:val="484D62D8"/>
    <w:rsid w:val="485A61F2"/>
    <w:rsid w:val="485B5652"/>
    <w:rsid w:val="48A979B2"/>
    <w:rsid w:val="48D20056"/>
    <w:rsid w:val="490443C2"/>
    <w:rsid w:val="4B7051B4"/>
    <w:rsid w:val="4C0F25F5"/>
    <w:rsid w:val="4C124497"/>
    <w:rsid w:val="4C862EF8"/>
    <w:rsid w:val="4CCC4CB8"/>
    <w:rsid w:val="4CE211B0"/>
    <w:rsid w:val="4E02745E"/>
    <w:rsid w:val="4F3114A3"/>
    <w:rsid w:val="4FDC32A3"/>
    <w:rsid w:val="50E84633"/>
    <w:rsid w:val="511A6B71"/>
    <w:rsid w:val="51D75531"/>
    <w:rsid w:val="52464F72"/>
    <w:rsid w:val="52D46404"/>
    <w:rsid w:val="52FE4928"/>
    <w:rsid w:val="53234805"/>
    <w:rsid w:val="53511372"/>
    <w:rsid w:val="54233137"/>
    <w:rsid w:val="54A4156D"/>
    <w:rsid w:val="54A52343"/>
    <w:rsid w:val="55B81E36"/>
    <w:rsid w:val="571A5B9E"/>
    <w:rsid w:val="5778623B"/>
    <w:rsid w:val="57A008FD"/>
    <w:rsid w:val="583D61C9"/>
    <w:rsid w:val="585A0252"/>
    <w:rsid w:val="58A10A06"/>
    <w:rsid w:val="592052FE"/>
    <w:rsid w:val="5A0709DC"/>
    <w:rsid w:val="5A4B0BAB"/>
    <w:rsid w:val="5AB87F28"/>
    <w:rsid w:val="5B64716A"/>
    <w:rsid w:val="5C273854"/>
    <w:rsid w:val="5C377706"/>
    <w:rsid w:val="5CFE6B7F"/>
    <w:rsid w:val="5D6E63FA"/>
    <w:rsid w:val="5EF072AB"/>
    <w:rsid w:val="6112606F"/>
    <w:rsid w:val="612B2107"/>
    <w:rsid w:val="619744C9"/>
    <w:rsid w:val="61AE1836"/>
    <w:rsid w:val="6247504A"/>
    <w:rsid w:val="62896E65"/>
    <w:rsid w:val="63EE7972"/>
    <w:rsid w:val="64110479"/>
    <w:rsid w:val="64C663B7"/>
    <w:rsid w:val="64FF29BD"/>
    <w:rsid w:val="669C2F6C"/>
    <w:rsid w:val="66DB1A9C"/>
    <w:rsid w:val="681A1D11"/>
    <w:rsid w:val="682810E5"/>
    <w:rsid w:val="68E471F3"/>
    <w:rsid w:val="692D42E4"/>
    <w:rsid w:val="696B535D"/>
    <w:rsid w:val="6AB11E6B"/>
    <w:rsid w:val="6B5773C1"/>
    <w:rsid w:val="6BDB3A77"/>
    <w:rsid w:val="6C6A77E5"/>
    <w:rsid w:val="6C7D4E30"/>
    <w:rsid w:val="6F1A2A56"/>
    <w:rsid w:val="707A24F5"/>
    <w:rsid w:val="716A7F86"/>
    <w:rsid w:val="725F5630"/>
    <w:rsid w:val="728961AA"/>
    <w:rsid w:val="72B80FD3"/>
    <w:rsid w:val="733046A8"/>
    <w:rsid w:val="744C5512"/>
    <w:rsid w:val="746C6FEB"/>
    <w:rsid w:val="75774810"/>
    <w:rsid w:val="7597455A"/>
    <w:rsid w:val="75D92687"/>
    <w:rsid w:val="76375D4D"/>
    <w:rsid w:val="76CA3830"/>
    <w:rsid w:val="78391CEC"/>
    <w:rsid w:val="78507213"/>
    <w:rsid w:val="7A0C2A2B"/>
    <w:rsid w:val="7A9113F7"/>
    <w:rsid w:val="7AAC6923"/>
    <w:rsid w:val="7B571F65"/>
    <w:rsid w:val="7C025299"/>
    <w:rsid w:val="7C855A65"/>
    <w:rsid w:val="7CDF7C7E"/>
    <w:rsid w:val="7D0E6ECE"/>
    <w:rsid w:val="7D6306FA"/>
    <w:rsid w:val="7D68620F"/>
    <w:rsid w:val="7DB34D03"/>
    <w:rsid w:val="7DDE1891"/>
    <w:rsid w:val="7F5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_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0">
    <w:name w:val="Normal_5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4390</Words>
  <Characters>4615</Characters>
  <Lines>0</Lines>
  <Paragraphs>0</Paragraphs>
  <TotalTime>0</TotalTime>
  <ScaleCrop>false</ScaleCrop>
  <LinksUpToDate>false</LinksUpToDate>
  <CharactersWithSpaces>4962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2022-07-14T09:32:00Z</dcterms:created>
  <dc:creator>Administrator</dc:creator>
  <cp:lastModifiedBy>su</cp:lastModifiedBy>
  <cp:lastPrinted>2024-04-02T01:11:00Z</cp:lastPrinted>
  <dcterms:modified xsi:type="dcterms:W3CDTF">2024-04-03T09:19:19Z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F42715CEF65841CC96DB3EE92176ADC6</vt:lpwstr>
  </property>
</Properties>
</file>