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olor w:val="auto"/>
          <w:sz w:val="32"/>
          <w:szCs w:val="32"/>
          <w:highlight w:val="none"/>
          <w:lang w:val="en-US" w:eastAsia="zh-CN"/>
        </w:rPr>
      </w:pPr>
      <w:r>
        <w:rPr>
          <w:rFonts w:hint="eastAsia" w:ascii="宋体" w:hAnsi="宋体"/>
          <w:color w:val="auto"/>
          <w:sz w:val="32"/>
          <w:szCs w:val="32"/>
          <w:highlight w:val="none"/>
          <w:lang w:val="en-US" w:eastAsia="zh-CN"/>
        </w:rPr>
        <w:t xml:space="preserve"> </w:t>
      </w:r>
    </w:p>
    <w:p>
      <w:pPr>
        <w:rPr>
          <w:rFonts w:ascii="宋体" w:hAnsi="宋体"/>
          <w:color w:val="auto"/>
          <w:sz w:val="32"/>
          <w:szCs w:val="32"/>
          <w:highlight w:val="none"/>
        </w:rPr>
      </w:pPr>
    </w:p>
    <w:p>
      <w:pPr>
        <w:rPr>
          <w:rFonts w:ascii="宋体" w:hAnsi="宋体"/>
          <w:color w:val="auto"/>
          <w:sz w:val="32"/>
          <w:szCs w:val="32"/>
          <w:highlight w:val="none"/>
        </w:rPr>
      </w:pPr>
    </w:p>
    <w:p>
      <w:pPr>
        <w:pStyle w:val="20"/>
        <w:tabs>
          <w:tab w:val="center" w:pos="4479"/>
          <w:tab w:val="left" w:pos="8115"/>
        </w:tabs>
        <w:jc w:val="left"/>
        <w:rPr>
          <w:rFonts w:hAnsi="宋体"/>
          <w:b/>
          <w:bCs/>
          <w:color w:val="auto"/>
          <w:sz w:val="96"/>
          <w:szCs w:val="96"/>
          <w:highlight w:val="none"/>
        </w:rPr>
      </w:pPr>
      <w:r>
        <w:rPr>
          <w:rFonts w:hAnsi="宋体"/>
          <w:b/>
          <w:color w:val="auto"/>
          <w:sz w:val="96"/>
          <w:szCs w:val="96"/>
          <w:highlight w:val="none"/>
        </w:rPr>
        <w:tab/>
      </w:r>
      <w:r>
        <w:rPr>
          <w:rFonts w:hint="eastAsia" w:hAnsi="宋体"/>
          <w:b/>
          <w:color w:val="auto"/>
          <w:sz w:val="96"/>
          <w:szCs w:val="96"/>
          <w:highlight w:val="none"/>
        </w:rPr>
        <w:t>采购</w:t>
      </w:r>
      <w:r>
        <w:rPr>
          <w:rFonts w:hint="eastAsia" w:hAnsi="宋体"/>
          <w:b/>
          <w:color w:val="auto"/>
          <w:sz w:val="96"/>
          <w:szCs w:val="96"/>
          <w:highlight w:val="none"/>
          <w:lang w:val="en-US" w:eastAsia="zh-CN"/>
        </w:rPr>
        <w:t>项目</w:t>
      </w:r>
      <w:r>
        <w:rPr>
          <w:rFonts w:hAnsi="宋体"/>
          <w:b/>
          <w:color w:val="auto"/>
          <w:sz w:val="96"/>
          <w:szCs w:val="96"/>
          <w:highlight w:val="none"/>
        </w:rPr>
        <w:tab/>
      </w:r>
    </w:p>
    <w:p>
      <w:pPr>
        <w:pStyle w:val="20"/>
        <w:tabs>
          <w:tab w:val="left" w:pos="8400"/>
        </w:tabs>
        <w:adjustRightInd w:val="0"/>
        <w:snapToGrid w:val="0"/>
        <w:spacing w:line="360" w:lineRule="auto"/>
        <w:jc w:val="center"/>
        <w:rPr>
          <w:rFonts w:hAnsi="宋体"/>
          <w:b/>
          <w:color w:val="auto"/>
          <w:sz w:val="96"/>
          <w:szCs w:val="96"/>
          <w:highlight w:val="none"/>
        </w:rPr>
      </w:pPr>
      <w:r>
        <w:rPr>
          <w:rFonts w:hint="eastAsia" w:hAnsi="宋体"/>
          <w:b/>
          <w:color w:val="auto"/>
          <w:sz w:val="96"/>
          <w:szCs w:val="96"/>
          <w:highlight w:val="none"/>
        </w:rPr>
        <w:t>竞争性磋商文件</w:t>
      </w:r>
    </w:p>
    <w:p>
      <w:pPr>
        <w:pStyle w:val="20"/>
        <w:adjustRightInd w:val="0"/>
        <w:snapToGrid w:val="0"/>
        <w:spacing w:line="480" w:lineRule="auto"/>
        <w:rPr>
          <w:rFonts w:hAnsi="宋体"/>
          <w:b/>
          <w:bCs/>
          <w:color w:val="auto"/>
          <w:sz w:val="32"/>
          <w:szCs w:val="32"/>
          <w:highlight w:val="none"/>
        </w:rPr>
      </w:pPr>
    </w:p>
    <w:p>
      <w:pPr>
        <w:pStyle w:val="20"/>
        <w:adjustRightInd w:val="0"/>
        <w:snapToGrid w:val="0"/>
        <w:spacing w:line="360" w:lineRule="auto"/>
        <w:ind w:left="2249" w:hanging="2249" w:hangingChars="700"/>
        <w:rPr>
          <w:rFonts w:hint="eastAsia" w:hAnsi="宋体" w:eastAsia="宋体"/>
          <w:b/>
          <w:bCs/>
          <w:color w:val="auto"/>
          <w:sz w:val="32"/>
          <w:szCs w:val="32"/>
          <w:highlight w:val="none"/>
          <w:u w:val="single"/>
          <w:lang w:val="en-US" w:eastAsia="zh-CN"/>
        </w:rPr>
      </w:pPr>
      <w:r>
        <w:rPr>
          <w:rFonts w:hint="eastAsia" w:hAnsi="宋体"/>
          <w:b/>
          <w:bCs/>
          <w:color w:val="auto"/>
          <w:sz w:val="32"/>
          <w:szCs w:val="32"/>
          <w:highlight w:val="none"/>
        </w:rPr>
        <w:t>采购项目名称：</w:t>
      </w:r>
      <w:r>
        <w:rPr>
          <w:rFonts w:hint="eastAsia" w:hAnsi="宋体"/>
          <w:b/>
          <w:bCs/>
          <w:color w:val="auto"/>
          <w:sz w:val="32"/>
          <w:szCs w:val="32"/>
          <w:highlight w:val="none"/>
          <w:u w:val="single"/>
          <w:lang w:eastAsia="zh-CN"/>
        </w:rPr>
        <w:t>娄星南路北段及众园路建设工程回购款利息及借款利息咨询服务项目</w:t>
      </w:r>
    </w:p>
    <w:p>
      <w:pPr>
        <w:pStyle w:val="20"/>
        <w:adjustRightInd w:val="0"/>
        <w:snapToGrid w:val="0"/>
        <w:spacing w:line="360" w:lineRule="auto"/>
        <w:rPr>
          <w:rFonts w:hint="eastAsia" w:hAnsi="宋体"/>
          <w:b/>
          <w:bCs/>
          <w:color w:val="auto"/>
          <w:sz w:val="32"/>
          <w:szCs w:val="32"/>
          <w:highlight w:val="none"/>
          <w:u w:val="single"/>
          <w:lang w:val="en-US" w:eastAsia="zh-CN"/>
        </w:rPr>
      </w:pPr>
      <w:r>
        <w:rPr>
          <w:rFonts w:hint="eastAsia" w:hAnsi="宋体"/>
          <w:b/>
          <w:bCs/>
          <w:color w:val="auto"/>
          <w:sz w:val="32"/>
          <w:szCs w:val="32"/>
          <w:highlight w:val="none"/>
        </w:rPr>
        <w:t>政府采购编号：</w:t>
      </w:r>
      <w:r>
        <w:rPr>
          <w:rFonts w:hint="eastAsia" w:hAnsi="宋体"/>
          <w:b/>
          <w:bCs/>
          <w:color w:val="auto"/>
          <w:sz w:val="32"/>
          <w:szCs w:val="32"/>
          <w:highlight w:val="none"/>
          <w:u w:val="single"/>
          <w:lang w:val="en-US" w:eastAsia="zh-CN"/>
        </w:rPr>
        <w:t>/</w:t>
      </w:r>
    </w:p>
    <w:p>
      <w:pPr>
        <w:pStyle w:val="20"/>
        <w:adjustRightInd w:val="0"/>
        <w:snapToGrid w:val="0"/>
        <w:spacing w:line="360" w:lineRule="auto"/>
        <w:rPr>
          <w:rFonts w:hAnsi="宋体"/>
          <w:b/>
          <w:bCs/>
          <w:color w:val="auto"/>
          <w:sz w:val="32"/>
          <w:szCs w:val="32"/>
          <w:highlight w:val="none"/>
        </w:rPr>
      </w:pPr>
      <w:r>
        <w:rPr>
          <w:rFonts w:hint="eastAsia" w:hAnsi="宋体"/>
          <w:b/>
          <w:bCs/>
          <w:color w:val="auto"/>
          <w:sz w:val="32"/>
          <w:szCs w:val="32"/>
          <w:highlight w:val="none"/>
        </w:rPr>
        <w:t>采购代理编号：</w:t>
      </w:r>
      <w:r>
        <w:rPr>
          <w:rFonts w:hint="eastAsia" w:hAnsi="宋体"/>
          <w:b/>
          <w:bCs/>
          <w:color w:val="auto"/>
          <w:sz w:val="32"/>
          <w:szCs w:val="32"/>
          <w:highlight w:val="none"/>
          <w:u w:val="single"/>
          <w:lang w:eastAsia="zh-CN"/>
        </w:rPr>
        <w:t>XNZX-2023NBCS005</w:t>
      </w:r>
      <w:r>
        <w:rPr>
          <w:rFonts w:hint="eastAsia" w:hAnsi="宋体"/>
          <w:b/>
          <w:bCs/>
          <w:color w:val="auto"/>
          <w:sz w:val="32"/>
          <w:szCs w:val="32"/>
          <w:highlight w:val="none"/>
          <w:u w:val="single"/>
          <w:lang w:val="en-US" w:eastAsia="zh-CN"/>
        </w:rPr>
        <w:t xml:space="preserve"> </w:t>
      </w:r>
    </w:p>
    <w:p>
      <w:pPr>
        <w:pStyle w:val="20"/>
        <w:adjustRightInd w:val="0"/>
        <w:snapToGrid w:val="0"/>
        <w:spacing w:line="360" w:lineRule="auto"/>
        <w:ind w:left="2249" w:hanging="2249" w:hangingChars="700"/>
        <w:rPr>
          <w:rFonts w:hint="default" w:hAnsi="宋体" w:eastAsia="宋体"/>
          <w:b/>
          <w:bCs/>
          <w:color w:val="auto"/>
          <w:sz w:val="32"/>
          <w:szCs w:val="32"/>
          <w:highlight w:val="none"/>
          <w:u w:val="single"/>
          <w:lang w:val="en-US" w:eastAsia="zh-CN"/>
        </w:rPr>
      </w:pPr>
      <w:r>
        <w:rPr>
          <w:rFonts w:hint="eastAsia" w:hAnsi="宋体"/>
          <w:b/>
          <w:bCs/>
          <w:color w:val="auto"/>
          <w:sz w:val="32"/>
          <w:szCs w:val="32"/>
          <w:highlight w:val="none"/>
        </w:rPr>
        <w:t>采   购   人：</w:t>
      </w:r>
      <w:r>
        <w:rPr>
          <w:rFonts w:hint="eastAsia" w:hAnsi="宋体"/>
          <w:b/>
          <w:bCs/>
          <w:color w:val="auto"/>
          <w:sz w:val="32"/>
          <w:szCs w:val="32"/>
          <w:highlight w:val="none"/>
          <w:u w:val="single"/>
          <w:lang w:val="en-US" w:eastAsia="zh-CN"/>
        </w:rPr>
        <w:t>娄底市万宝新区开发投资集团有限公司、湖南娄底路桥建设有限责任公司</w:t>
      </w:r>
    </w:p>
    <w:p>
      <w:pPr>
        <w:pStyle w:val="20"/>
        <w:adjustRightInd w:val="0"/>
        <w:snapToGrid w:val="0"/>
        <w:spacing w:line="360" w:lineRule="auto"/>
        <w:rPr>
          <w:rFonts w:hAnsi="宋体"/>
          <w:b/>
          <w:color w:val="auto"/>
          <w:sz w:val="28"/>
          <w:szCs w:val="28"/>
          <w:highlight w:val="none"/>
        </w:rPr>
      </w:pPr>
      <w:r>
        <w:rPr>
          <w:rFonts w:hint="eastAsia" w:hAnsi="宋体"/>
          <w:b/>
          <w:bCs/>
          <w:color w:val="auto"/>
          <w:sz w:val="32"/>
          <w:szCs w:val="32"/>
          <w:highlight w:val="none"/>
        </w:rPr>
        <w:t>采购代理机构：</w:t>
      </w:r>
      <w:r>
        <w:rPr>
          <w:rFonts w:hint="eastAsia" w:hAnsi="宋体"/>
          <w:b/>
          <w:bCs/>
          <w:color w:val="auto"/>
          <w:sz w:val="32"/>
          <w:szCs w:val="32"/>
          <w:highlight w:val="none"/>
          <w:u w:val="single"/>
          <w:lang w:eastAsia="zh-CN"/>
        </w:rPr>
        <w:t>湘能卓信项目管理有限公司</w:t>
      </w:r>
      <w:r>
        <w:rPr>
          <w:rFonts w:hint="eastAsia" w:hAnsi="宋体"/>
          <w:b/>
          <w:bCs/>
          <w:color w:val="auto"/>
          <w:sz w:val="32"/>
          <w:szCs w:val="32"/>
          <w:highlight w:val="none"/>
        </w:rPr>
        <w:t xml:space="preserve"> </w:t>
      </w:r>
    </w:p>
    <w:p>
      <w:pPr>
        <w:pStyle w:val="20"/>
        <w:adjustRightInd w:val="0"/>
        <w:snapToGrid w:val="0"/>
        <w:spacing w:line="480" w:lineRule="auto"/>
        <w:rPr>
          <w:rFonts w:hAnsi="宋体"/>
          <w:b/>
          <w:color w:val="auto"/>
          <w:sz w:val="32"/>
          <w:highlight w:val="none"/>
        </w:rPr>
      </w:pPr>
    </w:p>
    <w:p>
      <w:pPr>
        <w:pStyle w:val="20"/>
        <w:adjustRightInd w:val="0"/>
        <w:snapToGrid w:val="0"/>
        <w:spacing w:line="480" w:lineRule="auto"/>
        <w:rPr>
          <w:rFonts w:hAnsi="宋体"/>
          <w:b/>
          <w:color w:val="auto"/>
          <w:sz w:val="32"/>
          <w:highlight w:val="none"/>
        </w:rPr>
      </w:pPr>
    </w:p>
    <w:p>
      <w:pPr>
        <w:pStyle w:val="20"/>
        <w:adjustRightInd w:val="0"/>
        <w:snapToGrid w:val="0"/>
        <w:spacing w:line="480" w:lineRule="auto"/>
        <w:rPr>
          <w:rFonts w:hAnsi="宋体"/>
          <w:b/>
          <w:color w:val="auto"/>
          <w:sz w:val="32"/>
          <w:highlight w:val="none"/>
        </w:rPr>
      </w:pPr>
    </w:p>
    <w:p>
      <w:pPr>
        <w:pStyle w:val="20"/>
        <w:adjustRightInd w:val="0"/>
        <w:snapToGrid w:val="0"/>
        <w:spacing w:line="360" w:lineRule="auto"/>
        <w:jc w:val="center"/>
        <w:rPr>
          <w:rFonts w:hAnsi="宋体" w:cs="黑体"/>
          <w:color w:val="auto"/>
          <w:spacing w:val="160"/>
          <w:sz w:val="32"/>
          <w:szCs w:val="32"/>
          <w:highlight w:val="none"/>
        </w:rPr>
        <w:sectPr>
          <w:headerReference r:id="rId4" w:type="first"/>
          <w:footerReference r:id="rId6" w:type="first"/>
          <w:headerReference r:id="rId3" w:type="default"/>
          <w:footerReference r:id="rId5" w:type="default"/>
          <w:pgSz w:w="11906" w:h="16838"/>
          <w:pgMar w:top="1474" w:right="1474" w:bottom="1474" w:left="1474" w:header="851" w:footer="624" w:gutter="0"/>
          <w:pgNumType w:fmt="decimal" w:start="1"/>
          <w:cols w:space="720" w:num="1"/>
          <w:titlePg/>
          <w:docGrid w:type="lines" w:linePitch="317" w:charSpace="0"/>
        </w:sectPr>
      </w:pPr>
      <w:r>
        <w:rPr>
          <w:rFonts w:hint="eastAsia" w:hAnsi="宋体"/>
          <w:b/>
          <w:color w:val="auto"/>
          <w:sz w:val="32"/>
          <w:highlight w:val="none"/>
        </w:rPr>
        <w:t xml:space="preserve"> </w:t>
      </w:r>
      <w:r>
        <w:rPr>
          <w:rFonts w:hint="eastAsia" w:hAnsi="宋体"/>
          <w:b/>
          <w:color w:val="auto"/>
          <w:sz w:val="32"/>
          <w:highlight w:val="none"/>
          <w:u w:val="single"/>
        </w:rPr>
        <w:t>202</w:t>
      </w:r>
      <w:r>
        <w:rPr>
          <w:rFonts w:hint="eastAsia" w:hAnsi="宋体"/>
          <w:b/>
          <w:color w:val="auto"/>
          <w:sz w:val="32"/>
          <w:highlight w:val="none"/>
          <w:u w:val="single"/>
          <w:lang w:val="en-US" w:eastAsia="zh-CN"/>
        </w:rPr>
        <w:t>3</w:t>
      </w:r>
      <w:r>
        <w:rPr>
          <w:rFonts w:hint="eastAsia" w:hAnsi="宋体"/>
          <w:b/>
          <w:color w:val="auto"/>
          <w:sz w:val="32"/>
          <w:highlight w:val="none"/>
        </w:rPr>
        <w:t>年</w:t>
      </w:r>
      <w:r>
        <w:rPr>
          <w:rFonts w:hint="eastAsia" w:hAnsi="宋体"/>
          <w:b/>
          <w:color w:val="auto"/>
          <w:sz w:val="32"/>
          <w:highlight w:val="none"/>
          <w:u w:val="single"/>
        </w:rPr>
        <w:t xml:space="preserve"> </w:t>
      </w:r>
      <w:r>
        <w:rPr>
          <w:rFonts w:hint="eastAsia" w:hAnsi="宋体"/>
          <w:b/>
          <w:color w:val="auto"/>
          <w:sz w:val="32"/>
          <w:highlight w:val="none"/>
          <w:u w:val="single"/>
          <w:lang w:val="en-US" w:eastAsia="zh-CN"/>
        </w:rPr>
        <w:t>7</w:t>
      </w:r>
      <w:r>
        <w:rPr>
          <w:rFonts w:hint="eastAsia" w:hAnsi="宋体"/>
          <w:b/>
          <w:color w:val="auto"/>
          <w:sz w:val="32"/>
          <w:highlight w:val="none"/>
          <w:u w:val="single"/>
        </w:rPr>
        <w:t xml:space="preserve"> </w:t>
      </w:r>
      <w:r>
        <w:rPr>
          <w:rFonts w:hint="eastAsia" w:hAnsi="宋体"/>
          <w:b/>
          <w:color w:val="auto"/>
          <w:sz w:val="32"/>
          <w:highlight w:val="none"/>
        </w:rPr>
        <w:t>月</w:t>
      </w:r>
    </w:p>
    <w:p>
      <w:pPr>
        <w:rPr>
          <w:rFonts w:hint="eastAsia" w:hAnsi="宋体" w:cs="黑体"/>
          <w:b/>
          <w:bCs/>
          <w:color w:val="auto"/>
          <w:spacing w:val="160"/>
          <w:sz w:val="44"/>
          <w:szCs w:val="44"/>
          <w:highlight w:val="none"/>
        </w:rPr>
      </w:pPr>
      <w:r>
        <w:rPr>
          <w:rFonts w:hint="eastAsia" w:hAnsi="宋体" w:cs="黑体"/>
          <w:b/>
          <w:bCs/>
          <w:color w:val="auto"/>
          <w:spacing w:val="160"/>
          <w:sz w:val="44"/>
          <w:szCs w:val="44"/>
          <w:highlight w:val="none"/>
        </w:rPr>
        <w:br w:type="page"/>
      </w:r>
    </w:p>
    <w:p>
      <w:pPr>
        <w:pStyle w:val="20"/>
        <w:adjustRightInd w:val="0"/>
        <w:snapToGrid w:val="0"/>
        <w:spacing w:line="360" w:lineRule="auto"/>
        <w:jc w:val="center"/>
        <w:rPr>
          <w:rFonts w:hAnsi="宋体"/>
          <w:b/>
          <w:bCs/>
          <w:color w:val="auto"/>
          <w:sz w:val="44"/>
          <w:szCs w:val="44"/>
          <w:highlight w:val="none"/>
        </w:rPr>
      </w:pPr>
      <w:r>
        <w:rPr>
          <w:rFonts w:hint="eastAsia" w:hAnsi="宋体" w:cs="黑体"/>
          <w:b/>
          <w:bCs/>
          <w:color w:val="auto"/>
          <w:spacing w:val="160"/>
          <w:sz w:val="44"/>
          <w:szCs w:val="44"/>
          <w:highlight w:val="none"/>
        </w:rPr>
        <w:t>目录</w:t>
      </w:r>
    </w:p>
    <w:p>
      <w:pPr>
        <w:pStyle w:val="20"/>
        <w:adjustRightInd w:val="0"/>
        <w:snapToGrid w:val="0"/>
        <w:spacing w:line="360" w:lineRule="auto"/>
        <w:rPr>
          <w:rFonts w:hAnsi="宋体"/>
          <w:b/>
          <w:color w:val="auto"/>
          <w:sz w:val="24"/>
          <w:szCs w:val="24"/>
          <w:highlight w:val="none"/>
        </w:rPr>
      </w:pPr>
      <w:r>
        <w:rPr>
          <w:rFonts w:hint="eastAsia" w:hAnsi="宋体"/>
          <w:b/>
          <w:color w:val="auto"/>
          <w:sz w:val="24"/>
          <w:szCs w:val="24"/>
          <w:highlight w:val="none"/>
        </w:rPr>
        <w:t xml:space="preserve">   第一章  磋商邀请</w:t>
      </w:r>
    </w:p>
    <w:p>
      <w:pPr>
        <w:pStyle w:val="20"/>
        <w:adjustRightInd w:val="0"/>
        <w:snapToGrid w:val="0"/>
        <w:spacing w:line="360" w:lineRule="auto"/>
        <w:rPr>
          <w:rFonts w:hAnsi="宋体"/>
          <w:b/>
          <w:color w:val="auto"/>
          <w:sz w:val="24"/>
          <w:szCs w:val="24"/>
          <w:highlight w:val="none"/>
        </w:rPr>
      </w:pPr>
      <w:r>
        <w:rPr>
          <w:rFonts w:hint="eastAsia" w:hAnsi="宋体"/>
          <w:b/>
          <w:color w:val="auto"/>
          <w:sz w:val="24"/>
          <w:szCs w:val="24"/>
          <w:highlight w:val="none"/>
        </w:rPr>
        <w:t xml:space="preserve">   第二章  磋商须知</w:t>
      </w:r>
    </w:p>
    <w:p>
      <w:pPr>
        <w:tabs>
          <w:tab w:val="left" w:pos="1440"/>
        </w:tabs>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   磋商须知前附表</w:t>
      </w:r>
    </w:p>
    <w:p>
      <w:pPr>
        <w:tabs>
          <w:tab w:val="left" w:pos="1440"/>
        </w:tabs>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   磋商须知正文</w:t>
      </w:r>
    </w:p>
    <w:p>
      <w:pPr>
        <w:tabs>
          <w:tab w:val="left" w:pos="1440"/>
        </w:tabs>
        <w:adjustRightInd w:val="0"/>
        <w:snapToGrid w:val="0"/>
        <w:spacing w:line="360" w:lineRule="auto"/>
        <w:ind w:firstLine="720" w:firstLineChars="300"/>
        <w:rPr>
          <w:rFonts w:ascii="宋体" w:hAnsi="宋体"/>
          <w:color w:val="auto"/>
          <w:sz w:val="24"/>
          <w:highlight w:val="none"/>
        </w:rPr>
      </w:pPr>
      <w:r>
        <w:rPr>
          <w:rFonts w:hint="eastAsia" w:ascii="宋体" w:hAnsi="宋体"/>
          <w:color w:val="auto"/>
          <w:sz w:val="24"/>
          <w:highlight w:val="none"/>
        </w:rPr>
        <w:t xml:space="preserve">   一、说明</w:t>
      </w:r>
    </w:p>
    <w:p>
      <w:pPr>
        <w:tabs>
          <w:tab w:val="left" w:pos="1440"/>
        </w:tabs>
        <w:adjustRightInd w:val="0"/>
        <w:snapToGrid w:val="0"/>
        <w:spacing w:line="360" w:lineRule="auto"/>
        <w:ind w:firstLine="720" w:firstLineChars="300"/>
        <w:rPr>
          <w:rFonts w:ascii="宋体" w:hAnsi="宋体"/>
          <w:color w:val="auto"/>
          <w:sz w:val="24"/>
          <w:highlight w:val="none"/>
        </w:rPr>
      </w:pPr>
      <w:r>
        <w:rPr>
          <w:rFonts w:hint="eastAsia" w:ascii="宋体" w:hAnsi="宋体"/>
          <w:color w:val="auto"/>
          <w:sz w:val="24"/>
          <w:highlight w:val="none"/>
        </w:rPr>
        <w:t xml:space="preserve">   二、</w:t>
      </w:r>
      <w:r>
        <w:rPr>
          <w:rFonts w:hint="eastAsia" w:ascii="宋体" w:hAnsi="宋体"/>
          <w:bCs/>
          <w:color w:val="auto"/>
          <w:sz w:val="24"/>
          <w:highlight w:val="none"/>
        </w:rPr>
        <w:t>磋商</w:t>
      </w:r>
      <w:r>
        <w:rPr>
          <w:rFonts w:hint="eastAsia" w:ascii="宋体" w:hAnsi="宋体"/>
          <w:color w:val="auto"/>
          <w:sz w:val="24"/>
          <w:highlight w:val="none"/>
        </w:rPr>
        <w:t>文件</w:t>
      </w:r>
    </w:p>
    <w:p>
      <w:pPr>
        <w:adjustRightInd w:val="0"/>
        <w:snapToGrid w:val="0"/>
        <w:spacing w:line="360" w:lineRule="auto"/>
        <w:ind w:firstLine="720" w:firstLineChars="300"/>
        <w:rPr>
          <w:rFonts w:ascii="宋体" w:hAnsi="宋体"/>
          <w:color w:val="auto"/>
          <w:sz w:val="24"/>
          <w:highlight w:val="none"/>
        </w:rPr>
      </w:pPr>
      <w:r>
        <w:rPr>
          <w:rFonts w:hint="eastAsia" w:ascii="宋体" w:hAnsi="宋体"/>
          <w:color w:val="auto"/>
          <w:sz w:val="24"/>
          <w:highlight w:val="none"/>
        </w:rPr>
        <w:t xml:space="preserve">   三、响应文件</w:t>
      </w:r>
    </w:p>
    <w:p>
      <w:pPr>
        <w:adjustRightInd w:val="0"/>
        <w:snapToGrid w:val="0"/>
        <w:spacing w:line="360" w:lineRule="auto"/>
        <w:ind w:firstLine="720" w:firstLineChars="300"/>
        <w:rPr>
          <w:rFonts w:ascii="宋体" w:hAnsi="宋体"/>
          <w:color w:val="auto"/>
          <w:sz w:val="24"/>
          <w:highlight w:val="none"/>
        </w:rPr>
      </w:pPr>
      <w:r>
        <w:rPr>
          <w:rFonts w:hint="eastAsia" w:ascii="宋体" w:hAnsi="宋体"/>
          <w:color w:val="auto"/>
          <w:sz w:val="24"/>
          <w:highlight w:val="none"/>
        </w:rPr>
        <w:t xml:space="preserve">   四、响应文件的递交</w:t>
      </w:r>
    </w:p>
    <w:p>
      <w:pPr>
        <w:adjustRightInd w:val="0"/>
        <w:snapToGrid w:val="0"/>
        <w:spacing w:line="360" w:lineRule="auto"/>
        <w:ind w:firstLine="720" w:firstLineChars="300"/>
        <w:rPr>
          <w:rFonts w:ascii="宋体" w:hAnsi="宋体"/>
          <w:bCs/>
          <w:color w:val="auto"/>
          <w:sz w:val="24"/>
          <w:highlight w:val="none"/>
        </w:rPr>
      </w:pPr>
      <w:r>
        <w:rPr>
          <w:rFonts w:hint="eastAsia" w:ascii="宋体" w:hAnsi="宋体"/>
          <w:bCs/>
          <w:color w:val="auto"/>
          <w:sz w:val="24"/>
          <w:highlight w:val="none"/>
        </w:rPr>
        <w:t xml:space="preserve">   五、</w:t>
      </w:r>
      <w:r>
        <w:rPr>
          <w:rFonts w:hint="eastAsia" w:ascii="宋体" w:hAnsi="宋体"/>
          <w:color w:val="auto"/>
          <w:sz w:val="24"/>
          <w:highlight w:val="none"/>
        </w:rPr>
        <w:t>响应文件</w:t>
      </w:r>
      <w:r>
        <w:rPr>
          <w:rFonts w:hint="eastAsia" w:ascii="宋体" w:hAnsi="宋体"/>
          <w:bCs/>
          <w:color w:val="auto"/>
          <w:sz w:val="24"/>
          <w:highlight w:val="none"/>
        </w:rPr>
        <w:t>的</w:t>
      </w:r>
      <w:r>
        <w:rPr>
          <w:rFonts w:hint="eastAsia" w:ascii="宋体" w:hAnsi="宋体"/>
          <w:color w:val="auto"/>
          <w:sz w:val="24"/>
          <w:highlight w:val="none"/>
        </w:rPr>
        <w:t>磋商与评审</w:t>
      </w:r>
    </w:p>
    <w:p>
      <w:pPr>
        <w:adjustRightInd w:val="0"/>
        <w:snapToGrid w:val="0"/>
        <w:spacing w:line="360" w:lineRule="auto"/>
        <w:ind w:firstLine="720" w:firstLineChars="300"/>
        <w:rPr>
          <w:rFonts w:ascii="宋体" w:hAnsi="宋体"/>
          <w:color w:val="auto"/>
          <w:sz w:val="24"/>
          <w:highlight w:val="none"/>
        </w:rPr>
      </w:pPr>
      <w:r>
        <w:rPr>
          <w:rFonts w:hint="eastAsia" w:ascii="宋体" w:hAnsi="宋体"/>
          <w:color w:val="auto"/>
          <w:sz w:val="24"/>
          <w:highlight w:val="none"/>
        </w:rPr>
        <w:t xml:space="preserve">   六、成交结果信息公布与授予合同</w:t>
      </w:r>
    </w:p>
    <w:p>
      <w:pPr>
        <w:adjustRightInd w:val="0"/>
        <w:snapToGrid w:val="0"/>
        <w:spacing w:line="360" w:lineRule="auto"/>
        <w:ind w:firstLine="720" w:firstLineChars="300"/>
        <w:jc w:val="left"/>
        <w:rPr>
          <w:rFonts w:ascii="宋体" w:hAnsi="宋体"/>
          <w:color w:val="auto"/>
          <w:sz w:val="24"/>
          <w:highlight w:val="none"/>
        </w:rPr>
      </w:pPr>
      <w:r>
        <w:rPr>
          <w:rFonts w:hint="eastAsia" w:ascii="宋体" w:hAnsi="宋体"/>
          <w:color w:val="auto"/>
          <w:sz w:val="24"/>
          <w:highlight w:val="none"/>
        </w:rPr>
        <w:t xml:space="preserve">   七、其他规定</w:t>
      </w:r>
    </w:p>
    <w:p>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 xml:space="preserve">   第三章  政府采购合同格式</w:t>
      </w:r>
    </w:p>
    <w:p>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 xml:space="preserve">   第四章  采购需求</w:t>
      </w:r>
    </w:p>
    <w:p>
      <w:pPr>
        <w:pStyle w:val="20"/>
        <w:adjustRightInd w:val="0"/>
        <w:snapToGrid w:val="0"/>
        <w:spacing w:line="360" w:lineRule="auto"/>
        <w:rPr>
          <w:rFonts w:hAnsi="宋体"/>
          <w:b/>
          <w:color w:val="auto"/>
          <w:sz w:val="24"/>
          <w:szCs w:val="24"/>
          <w:highlight w:val="none"/>
        </w:rPr>
      </w:pPr>
      <w:r>
        <w:rPr>
          <w:rFonts w:hint="eastAsia" w:hAnsi="宋体"/>
          <w:b/>
          <w:color w:val="auto"/>
          <w:sz w:val="24"/>
          <w:szCs w:val="24"/>
          <w:highlight w:val="none"/>
        </w:rPr>
        <w:t xml:space="preserve">   第五章  响应文件组成</w:t>
      </w:r>
    </w:p>
    <w:p>
      <w:pPr>
        <w:spacing w:line="360" w:lineRule="exact"/>
        <w:rPr>
          <w:rFonts w:ascii="宋体" w:hAnsi="宋体"/>
          <w:b/>
          <w:color w:val="auto"/>
          <w:sz w:val="24"/>
          <w:highlight w:val="none"/>
        </w:rPr>
      </w:pPr>
    </w:p>
    <w:p>
      <w:pPr>
        <w:spacing w:line="360" w:lineRule="exact"/>
        <w:rPr>
          <w:rFonts w:ascii="宋体" w:hAnsi="宋体"/>
          <w:b/>
          <w:color w:val="auto"/>
          <w:sz w:val="24"/>
          <w:highlight w:val="none"/>
        </w:rPr>
      </w:pPr>
    </w:p>
    <w:p>
      <w:pPr>
        <w:spacing w:line="360" w:lineRule="exact"/>
        <w:rPr>
          <w:rFonts w:ascii="宋体" w:hAnsi="宋体"/>
          <w:b/>
          <w:color w:val="auto"/>
          <w:sz w:val="24"/>
          <w:highlight w:val="none"/>
        </w:rPr>
      </w:pPr>
    </w:p>
    <w:p>
      <w:pPr>
        <w:spacing w:line="360" w:lineRule="exact"/>
        <w:rPr>
          <w:rFonts w:ascii="宋体" w:hAnsi="宋体"/>
          <w:b/>
          <w:color w:val="auto"/>
          <w:sz w:val="24"/>
          <w:highlight w:val="none"/>
        </w:rPr>
      </w:pPr>
    </w:p>
    <w:p>
      <w:pPr>
        <w:spacing w:line="360" w:lineRule="exact"/>
        <w:rPr>
          <w:rFonts w:ascii="宋体" w:hAnsi="宋体"/>
          <w:b/>
          <w:color w:val="auto"/>
          <w:sz w:val="24"/>
          <w:highlight w:val="none"/>
        </w:rPr>
      </w:pPr>
    </w:p>
    <w:p>
      <w:pPr>
        <w:jc w:val="center"/>
        <w:rPr>
          <w:rFonts w:ascii="宋体" w:hAnsi="宋体"/>
          <w:color w:val="auto"/>
          <w:sz w:val="32"/>
          <w:szCs w:val="32"/>
          <w:highlight w:val="none"/>
        </w:rPr>
      </w:pPr>
    </w:p>
    <w:p>
      <w:pPr>
        <w:jc w:val="center"/>
        <w:rPr>
          <w:rFonts w:ascii="宋体" w:hAnsi="宋体"/>
          <w:color w:val="auto"/>
          <w:sz w:val="32"/>
          <w:szCs w:val="32"/>
          <w:highlight w:val="none"/>
        </w:rPr>
      </w:pPr>
    </w:p>
    <w:p>
      <w:pPr>
        <w:jc w:val="center"/>
        <w:rPr>
          <w:rFonts w:ascii="宋体" w:hAnsi="宋体"/>
          <w:color w:val="auto"/>
          <w:sz w:val="32"/>
          <w:szCs w:val="32"/>
          <w:highlight w:val="none"/>
        </w:rPr>
      </w:pPr>
    </w:p>
    <w:p>
      <w:pPr>
        <w:jc w:val="center"/>
        <w:rPr>
          <w:rFonts w:ascii="宋体" w:hAnsi="宋体"/>
          <w:color w:val="auto"/>
          <w:sz w:val="32"/>
          <w:szCs w:val="32"/>
          <w:highlight w:val="none"/>
        </w:rPr>
      </w:pPr>
    </w:p>
    <w:p>
      <w:pPr>
        <w:jc w:val="center"/>
        <w:rPr>
          <w:rFonts w:ascii="宋体" w:hAnsi="宋体"/>
          <w:color w:val="auto"/>
          <w:sz w:val="32"/>
          <w:szCs w:val="32"/>
          <w:highlight w:val="none"/>
        </w:rPr>
      </w:pPr>
    </w:p>
    <w:p>
      <w:pPr>
        <w:rPr>
          <w:rFonts w:ascii="宋体" w:hAnsi="宋体" w:cs="黑体"/>
          <w:b/>
          <w:color w:val="auto"/>
          <w:sz w:val="32"/>
          <w:szCs w:val="32"/>
          <w:highlight w:val="none"/>
        </w:rPr>
        <w:sectPr>
          <w:footerReference r:id="rId7" w:type="default"/>
          <w:pgSz w:w="11906" w:h="16838"/>
          <w:pgMar w:top="1474" w:right="1474" w:bottom="1474" w:left="1474" w:header="851" w:footer="624" w:gutter="0"/>
          <w:pgNumType w:fmt="decimal" w:start="2"/>
          <w:cols w:space="720" w:num="1"/>
          <w:docGrid w:type="lines" w:linePitch="317" w:charSpace="0"/>
        </w:sectPr>
      </w:pPr>
    </w:p>
    <w:p>
      <w:pPr>
        <w:rPr>
          <w:rFonts w:hint="eastAsia" w:ascii="宋体" w:hAnsi="宋体" w:cs="宋体"/>
          <w:b/>
          <w:color w:val="auto"/>
          <w:kern w:val="1"/>
          <w:sz w:val="32"/>
          <w:szCs w:val="32"/>
          <w:highlight w:val="none"/>
        </w:rPr>
      </w:pPr>
      <w:r>
        <w:rPr>
          <w:rFonts w:hint="eastAsia" w:ascii="宋体" w:hAnsi="宋体" w:cs="宋体"/>
          <w:b/>
          <w:color w:val="auto"/>
          <w:kern w:val="1"/>
          <w:sz w:val="32"/>
          <w:szCs w:val="32"/>
          <w:highlight w:val="none"/>
        </w:rPr>
        <w:br w:type="page"/>
      </w:r>
    </w:p>
    <w:p>
      <w:pPr>
        <w:jc w:val="center"/>
        <w:rPr>
          <w:rFonts w:ascii="宋体" w:hAnsi="宋体" w:cs="宋体"/>
          <w:b/>
          <w:color w:val="auto"/>
          <w:kern w:val="1"/>
          <w:sz w:val="32"/>
          <w:szCs w:val="32"/>
          <w:highlight w:val="none"/>
        </w:rPr>
      </w:pPr>
      <w:r>
        <w:rPr>
          <w:rFonts w:hint="eastAsia" w:ascii="宋体" w:hAnsi="宋体" w:cs="宋体"/>
          <w:b/>
          <w:color w:val="auto"/>
          <w:kern w:val="1"/>
          <w:sz w:val="32"/>
          <w:szCs w:val="32"/>
          <w:highlight w:val="none"/>
        </w:rPr>
        <w:t>第一章</w:t>
      </w:r>
      <w:r>
        <w:rPr>
          <w:rFonts w:ascii="宋体" w:hAnsi="宋体" w:cs="宋体"/>
          <w:b/>
          <w:color w:val="auto"/>
          <w:kern w:val="1"/>
          <w:sz w:val="32"/>
          <w:szCs w:val="32"/>
          <w:highlight w:val="none"/>
        </w:rPr>
        <w:t xml:space="preserve"> 磋商邀请公告</w:t>
      </w:r>
    </w:p>
    <w:p>
      <w:pPr>
        <w:spacing w:line="360" w:lineRule="auto"/>
        <w:rPr>
          <w:rFonts w:ascii="宋体" w:cs="宋体"/>
          <w:b/>
          <w:bCs/>
          <w:color w:val="auto"/>
          <w:highlight w:val="none"/>
        </w:rPr>
      </w:pPr>
      <w:r>
        <w:rPr>
          <w:rFonts w:hint="eastAsia" w:ascii="宋体" w:hAnsi="宋体" w:cs="宋体"/>
          <w:b/>
          <w:bCs/>
          <w:color w:val="auto"/>
          <w:highlight w:val="none"/>
        </w:rPr>
        <w:t>一、项目概况</w:t>
      </w:r>
    </w:p>
    <w:p>
      <w:pPr>
        <w:adjustRightInd w:val="0"/>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u w:val="single"/>
          <w:lang w:eastAsia="zh-CN"/>
        </w:rPr>
        <w:t>湘能卓信项目管理有限公司</w:t>
      </w:r>
      <w:r>
        <w:rPr>
          <w:rFonts w:hint="eastAsia" w:ascii="宋体" w:hAnsi="宋体"/>
          <w:color w:val="auto"/>
          <w:szCs w:val="21"/>
          <w:highlight w:val="none"/>
        </w:rPr>
        <w:t>受</w:t>
      </w:r>
      <w:r>
        <w:rPr>
          <w:rFonts w:hint="eastAsia" w:ascii="宋体" w:hAnsi="宋体"/>
          <w:color w:val="auto"/>
          <w:szCs w:val="21"/>
          <w:highlight w:val="none"/>
          <w:u w:val="single"/>
          <w:lang w:val="en-US" w:eastAsia="zh-CN"/>
        </w:rPr>
        <w:t>娄底市万宝新区开发投资集团有限公司、湖南娄底路桥建设有限责任公司</w:t>
      </w:r>
      <w:r>
        <w:rPr>
          <w:rFonts w:hint="eastAsia" w:ascii="宋体" w:hAnsi="宋体"/>
          <w:color w:val="auto"/>
          <w:szCs w:val="21"/>
          <w:highlight w:val="none"/>
        </w:rPr>
        <w:t>的委托，</w:t>
      </w:r>
      <w:r>
        <w:rPr>
          <w:rFonts w:hint="eastAsia" w:ascii="宋体" w:hAnsi="宋体"/>
          <w:color w:val="auto"/>
          <w:szCs w:val="21"/>
          <w:highlight w:val="none"/>
          <w:u w:val="single"/>
        </w:rPr>
        <w:t>对</w:t>
      </w:r>
      <w:r>
        <w:rPr>
          <w:rFonts w:hint="eastAsia" w:ascii="宋体" w:hAnsi="宋体" w:cs="宋体"/>
          <w:color w:val="auto"/>
          <w:highlight w:val="none"/>
          <w:u w:val="single"/>
          <w:lang w:eastAsia="zh-CN"/>
        </w:rPr>
        <w:t>娄星南路北段及众园路建设工程回购款利息及借款利息咨询服务项目</w:t>
      </w:r>
      <w:r>
        <w:rPr>
          <w:rFonts w:hint="eastAsia" w:ascii="宋体" w:hAnsi="宋体"/>
          <w:color w:val="auto"/>
          <w:szCs w:val="21"/>
          <w:highlight w:val="none"/>
          <w:u w:val="single"/>
        </w:rPr>
        <w:t>（委托代理编号：</w:t>
      </w:r>
      <w:r>
        <w:rPr>
          <w:rFonts w:hint="eastAsia" w:ascii="宋体" w:hAnsi="宋体"/>
          <w:color w:val="auto"/>
          <w:szCs w:val="21"/>
          <w:highlight w:val="none"/>
          <w:u w:val="single"/>
          <w:lang w:eastAsia="zh-CN"/>
        </w:rPr>
        <w:t>XNZX-2023NBCS005</w:t>
      </w:r>
      <w:r>
        <w:rPr>
          <w:rFonts w:hint="eastAsia" w:ascii="宋体" w:hAnsi="宋体"/>
          <w:color w:val="auto"/>
          <w:szCs w:val="21"/>
          <w:highlight w:val="none"/>
          <w:u w:val="single"/>
        </w:rPr>
        <w:t>）项目</w:t>
      </w:r>
      <w:r>
        <w:rPr>
          <w:rFonts w:hint="eastAsia" w:ascii="宋体" w:hAnsi="宋体"/>
          <w:color w:val="auto"/>
          <w:szCs w:val="21"/>
          <w:highlight w:val="none"/>
        </w:rPr>
        <w:t>进行竞争性磋商采购，现采用</w:t>
      </w:r>
      <w:r>
        <w:rPr>
          <w:rFonts w:hint="eastAsia" w:ascii="宋体" w:hAnsi="宋体"/>
          <w:color w:val="auto"/>
          <w:szCs w:val="21"/>
          <w:highlight w:val="none"/>
          <w:u w:val="single"/>
        </w:rPr>
        <w:t>发布公告</w:t>
      </w:r>
      <w:r>
        <w:rPr>
          <w:rFonts w:hint="eastAsia" w:ascii="宋体" w:hAnsi="宋体"/>
          <w:color w:val="auto"/>
          <w:szCs w:val="21"/>
          <w:highlight w:val="none"/>
        </w:rPr>
        <w:t>的方式，邀请符合资格条件的供应商参与竞争性磋商采购活动。</w:t>
      </w:r>
    </w:p>
    <w:p>
      <w:pPr>
        <w:spacing w:line="360" w:lineRule="auto"/>
        <w:rPr>
          <w:rFonts w:ascii="宋体" w:hAnsi="宋体" w:cs="宋体"/>
          <w:b/>
          <w:color w:val="auto"/>
          <w:kern w:val="1"/>
          <w:szCs w:val="21"/>
          <w:highlight w:val="none"/>
        </w:rPr>
      </w:pPr>
      <w:r>
        <w:rPr>
          <w:rFonts w:hint="eastAsia" w:ascii="宋体" w:hAnsi="宋体" w:cs="宋体"/>
          <w:b/>
          <w:color w:val="auto"/>
          <w:kern w:val="1"/>
          <w:szCs w:val="21"/>
          <w:highlight w:val="none"/>
          <w:lang w:val="en-US" w:eastAsia="zh-CN"/>
        </w:rPr>
        <w:t>二</w:t>
      </w:r>
      <w:r>
        <w:rPr>
          <w:rFonts w:hint="eastAsia" w:ascii="宋体" w:hAnsi="宋体" w:cs="宋体"/>
          <w:b/>
          <w:color w:val="auto"/>
          <w:kern w:val="1"/>
          <w:szCs w:val="21"/>
          <w:highlight w:val="none"/>
        </w:rPr>
        <w:t>、</w:t>
      </w:r>
      <w:r>
        <w:rPr>
          <w:rFonts w:ascii="宋体" w:hAnsi="宋体" w:cs="宋体"/>
          <w:b/>
          <w:color w:val="auto"/>
          <w:kern w:val="1"/>
          <w:szCs w:val="21"/>
          <w:highlight w:val="none"/>
        </w:rPr>
        <w:t>项目基本概况</w:t>
      </w:r>
    </w:p>
    <w:p>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1、政府采购编号：</w:t>
      </w:r>
      <w:r>
        <w:rPr>
          <w:rFonts w:hint="eastAsia" w:ascii="宋体" w:hAnsi="宋体" w:cs="宋体"/>
          <w:color w:val="auto"/>
          <w:highlight w:val="none"/>
          <w:lang w:eastAsia="zh-CN"/>
        </w:rPr>
        <w:t>/</w:t>
      </w:r>
      <w:r>
        <w:rPr>
          <w:rFonts w:hint="eastAsia" w:ascii="宋体" w:hAnsi="宋体" w:cs="宋体"/>
          <w:color w:val="auto"/>
          <w:highlight w:val="none"/>
        </w:rPr>
        <w:t xml:space="preserve">   </w:t>
      </w:r>
    </w:p>
    <w:p>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2、采购代理编号：</w:t>
      </w:r>
      <w:r>
        <w:rPr>
          <w:rFonts w:hint="eastAsia" w:ascii="宋体" w:hAnsi="宋体" w:cs="宋体"/>
          <w:color w:val="auto"/>
          <w:highlight w:val="none"/>
          <w:lang w:eastAsia="zh-CN"/>
        </w:rPr>
        <w:t>XNZX-2023NBCS005</w:t>
      </w:r>
    </w:p>
    <w:p>
      <w:pPr>
        <w:adjustRightInd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3、采购项目名称：</w:t>
      </w:r>
      <w:r>
        <w:rPr>
          <w:rFonts w:hint="eastAsia" w:ascii="宋体" w:hAnsi="宋体" w:cs="宋体"/>
          <w:color w:val="auto"/>
          <w:highlight w:val="none"/>
          <w:lang w:eastAsia="zh-CN"/>
        </w:rPr>
        <w:t>娄星南路北段及众园路建设工程回购款利息及借款利息咨询服务项目</w:t>
      </w:r>
    </w:p>
    <w:p>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4、采购方式：竞争性磋商</w:t>
      </w:r>
      <w:r>
        <w:rPr>
          <w:rFonts w:ascii="宋体" w:hAnsi="宋体" w:cs="宋体"/>
          <w:color w:val="auto"/>
          <w:highlight w:val="none"/>
        </w:rPr>
        <w:tab/>
      </w:r>
    </w:p>
    <w:p>
      <w:pPr>
        <w:adjustRightInd w:val="0"/>
        <w:snapToGrid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5、预算金额（最高限价）：79168.00元。</w:t>
      </w:r>
    </w:p>
    <w:p>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w:t>
      </w:r>
      <w:r>
        <w:rPr>
          <w:rFonts w:hint="eastAsia" w:ascii="宋体" w:hAnsi="宋体" w:cs="宋体"/>
          <w:color w:val="auto"/>
          <w:highlight w:val="none"/>
          <w:lang w:val="en-US" w:eastAsia="zh-CN"/>
        </w:rPr>
        <w:t>项目概况</w:t>
      </w:r>
      <w:r>
        <w:rPr>
          <w:rFonts w:hint="eastAsia" w:ascii="宋体" w:hAnsi="宋体" w:cs="宋体"/>
          <w:color w:val="auto"/>
          <w:highlight w:val="none"/>
        </w:rPr>
        <w:t>：</w:t>
      </w:r>
    </w:p>
    <w:tbl>
      <w:tblPr>
        <w:tblStyle w:val="33"/>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500"/>
        <w:gridCol w:w="5450"/>
        <w:gridCol w:w="1137"/>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Pr>
          <w:p>
            <w:pPr>
              <w:jc w:val="center"/>
              <w:rPr>
                <w:rFonts w:hint="default"/>
                <w:color w:val="auto"/>
                <w:highlight w:val="none"/>
                <w:lang w:val="en-US" w:eastAsia="zh-CN"/>
              </w:rPr>
            </w:pPr>
            <w:r>
              <w:rPr>
                <w:rFonts w:hint="eastAsia"/>
                <w:color w:val="auto"/>
                <w:highlight w:val="none"/>
                <w:lang w:val="en-US" w:eastAsia="zh-CN"/>
              </w:rPr>
              <w:t>包号</w:t>
            </w:r>
          </w:p>
        </w:tc>
        <w:tc>
          <w:tcPr>
            <w:tcW w:w="1500" w:type="dxa"/>
          </w:tcPr>
          <w:p>
            <w:pPr>
              <w:jc w:val="center"/>
              <w:rPr>
                <w:rFonts w:hint="default"/>
                <w:color w:val="auto"/>
                <w:highlight w:val="none"/>
                <w:lang w:val="en-US" w:eastAsia="zh-CN"/>
              </w:rPr>
            </w:pPr>
            <w:r>
              <w:rPr>
                <w:rFonts w:hint="eastAsia"/>
                <w:color w:val="auto"/>
                <w:highlight w:val="none"/>
                <w:lang w:val="en-US" w:eastAsia="zh-CN"/>
              </w:rPr>
              <w:t>包名称</w:t>
            </w:r>
          </w:p>
        </w:tc>
        <w:tc>
          <w:tcPr>
            <w:tcW w:w="5450" w:type="dxa"/>
          </w:tcPr>
          <w:p>
            <w:pPr>
              <w:jc w:val="center"/>
              <w:rPr>
                <w:rFonts w:hint="default"/>
                <w:color w:val="auto"/>
                <w:highlight w:val="none"/>
                <w:lang w:val="en-US" w:eastAsia="zh-CN"/>
              </w:rPr>
            </w:pPr>
            <w:r>
              <w:rPr>
                <w:rFonts w:hint="eastAsia"/>
                <w:color w:val="auto"/>
                <w:highlight w:val="none"/>
                <w:lang w:val="en-US" w:eastAsia="zh-CN"/>
              </w:rPr>
              <w:t>项目概况</w:t>
            </w:r>
          </w:p>
        </w:tc>
        <w:tc>
          <w:tcPr>
            <w:tcW w:w="1137" w:type="dxa"/>
          </w:tcPr>
          <w:p>
            <w:pPr>
              <w:jc w:val="center"/>
              <w:rPr>
                <w:rFonts w:hint="default"/>
                <w:color w:val="auto"/>
                <w:highlight w:val="none"/>
                <w:lang w:val="en-US" w:eastAsia="zh-CN"/>
              </w:rPr>
            </w:pPr>
            <w:r>
              <w:rPr>
                <w:rFonts w:hint="eastAsia"/>
                <w:color w:val="auto"/>
                <w:highlight w:val="none"/>
                <w:lang w:val="en-US" w:eastAsia="zh-CN"/>
              </w:rPr>
              <w:t>招标控制价（元）</w:t>
            </w:r>
          </w:p>
        </w:tc>
        <w:tc>
          <w:tcPr>
            <w:tcW w:w="755" w:type="dxa"/>
          </w:tcPr>
          <w:p>
            <w:pPr>
              <w:jc w:val="center"/>
              <w:rPr>
                <w:rFonts w:hint="default"/>
                <w:color w:val="auto"/>
                <w:highlight w:val="none"/>
                <w:lang w:val="en-US" w:eastAsia="zh-CN"/>
              </w:rPr>
            </w:pPr>
            <w:r>
              <w:rPr>
                <w:rFonts w:hint="eastAsia"/>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Pr>
          <w:p>
            <w:pPr>
              <w:rPr>
                <w:rFonts w:hint="default"/>
                <w:color w:val="auto"/>
                <w:highlight w:val="none"/>
                <w:lang w:val="en-US" w:eastAsia="zh-CN"/>
              </w:rPr>
            </w:pPr>
            <w:r>
              <w:rPr>
                <w:rFonts w:hint="eastAsia"/>
                <w:color w:val="auto"/>
                <w:highlight w:val="none"/>
                <w:lang w:val="en-US" w:eastAsia="zh-CN"/>
              </w:rPr>
              <w:t>01</w:t>
            </w:r>
          </w:p>
        </w:tc>
        <w:tc>
          <w:tcPr>
            <w:tcW w:w="1500" w:type="dxa"/>
          </w:tcPr>
          <w:p>
            <w:pPr>
              <w:rPr>
                <w:rFonts w:hint="eastAsia"/>
                <w:color w:val="auto"/>
                <w:highlight w:val="none"/>
                <w:lang w:val="en-US" w:eastAsia="zh-CN"/>
              </w:rPr>
            </w:pPr>
            <w:r>
              <w:rPr>
                <w:rFonts w:hint="eastAsia"/>
                <w:color w:val="auto"/>
                <w:highlight w:val="none"/>
                <w:lang w:val="en-US" w:eastAsia="zh-CN"/>
              </w:rPr>
              <w:t>娄星南路北段及众园路建设工程回购款利息及借款利息咨询服务项目</w:t>
            </w:r>
          </w:p>
        </w:tc>
        <w:tc>
          <w:tcPr>
            <w:tcW w:w="5450" w:type="dxa"/>
          </w:tcPr>
          <w:p>
            <w:pPr>
              <w:rPr>
                <w:rFonts w:hint="eastAsia"/>
                <w:color w:val="auto"/>
                <w:highlight w:val="none"/>
                <w:lang w:val="en-US" w:eastAsia="zh-CN"/>
              </w:rPr>
            </w:pPr>
            <w:r>
              <w:rPr>
                <w:rFonts w:hint="eastAsia"/>
                <w:color w:val="auto"/>
                <w:highlight w:val="none"/>
                <w:lang w:val="en-US" w:eastAsia="zh-CN"/>
              </w:rPr>
              <w:t>娄星南路北段(众园路至湘中大道)建设工程、娄星南路孙水河大桥(含沿河北路) 建设工程、众园路东段(K1+300-K2489.64段)新建工程审定工程款合计为 37666.66214 万元，另有经费借款 8002 万元。现需根据相关文件计算本项目利息款，并出具核准报告。</w:t>
            </w:r>
          </w:p>
        </w:tc>
        <w:tc>
          <w:tcPr>
            <w:tcW w:w="1137" w:type="dxa"/>
          </w:tcPr>
          <w:p>
            <w:pPr>
              <w:rPr>
                <w:rFonts w:hint="eastAsia"/>
                <w:color w:val="auto"/>
                <w:highlight w:val="none"/>
                <w:lang w:val="en-US" w:eastAsia="zh-CN"/>
              </w:rPr>
            </w:pPr>
            <w:r>
              <w:rPr>
                <w:rFonts w:hint="eastAsia"/>
                <w:color w:val="auto"/>
                <w:highlight w:val="none"/>
                <w:lang w:val="en-US" w:eastAsia="zh-CN"/>
              </w:rPr>
              <w:t>79168.00</w:t>
            </w:r>
          </w:p>
        </w:tc>
        <w:tc>
          <w:tcPr>
            <w:tcW w:w="755" w:type="dxa"/>
          </w:tcPr>
          <w:p>
            <w:pPr>
              <w:rPr>
                <w:rFonts w:hint="default"/>
                <w:color w:val="auto"/>
                <w:highlight w:val="none"/>
                <w:lang w:val="en-US" w:eastAsia="zh-CN"/>
              </w:rPr>
            </w:pPr>
            <w:r>
              <w:rPr>
                <w:rFonts w:hint="eastAsia"/>
                <w:color w:val="auto"/>
                <w:highlight w:val="none"/>
                <w:lang w:val="en-US" w:eastAsia="zh-CN"/>
              </w:rPr>
              <w:t>无</w:t>
            </w:r>
          </w:p>
        </w:tc>
      </w:tr>
    </w:tbl>
    <w:p>
      <w:pPr>
        <w:pStyle w:val="49"/>
        <w:rPr>
          <w:rFonts w:hint="eastAsia"/>
          <w:color w:val="auto"/>
          <w:highlight w:val="none"/>
          <w:lang w:eastAsia="zh-CN"/>
        </w:rPr>
      </w:pPr>
    </w:p>
    <w:p>
      <w:pPr>
        <w:pStyle w:val="49"/>
        <w:rPr>
          <w:rFonts w:hint="eastAsia"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简要技术需求或服务要求</w:t>
      </w:r>
      <w:r>
        <w:rPr>
          <w:rFonts w:hint="eastAsia" w:ascii="宋体" w:hAnsi="宋体" w:cs="宋体"/>
          <w:color w:val="auto"/>
          <w:highlight w:val="none"/>
          <w:lang w:eastAsia="zh-CN"/>
        </w:rPr>
        <w:t>：</w:t>
      </w:r>
      <w:r>
        <w:rPr>
          <w:rFonts w:hint="eastAsia" w:ascii="宋体" w:hAnsi="宋体" w:cs="宋体"/>
          <w:color w:val="auto"/>
          <w:highlight w:val="none"/>
          <w:lang w:val="en-US" w:eastAsia="zh-CN"/>
        </w:rPr>
        <w:t>符合</w:t>
      </w:r>
      <w:r>
        <w:rPr>
          <w:rFonts w:hint="eastAsia" w:ascii="宋体" w:hAnsi="宋体" w:cs="宋体"/>
          <w:color w:val="auto"/>
          <w:highlight w:val="none"/>
          <w:lang w:eastAsia="zh-CN"/>
        </w:rPr>
        <w:t>相关验收技术标准、规范和国家强制性标准要求，达到合格工程标准。</w:t>
      </w:r>
    </w:p>
    <w:p>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、合同履行期限：</w:t>
      </w:r>
      <w:r>
        <w:rPr>
          <w:rFonts w:hint="eastAsia" w:ascii="宋体" w:hAnsi="宋体" w:cs="宋体"/>
          <w:color w:val="auto"/>
          <w:highlight w:val="yellow"/>
          <w:lang w:val="en-US" w:eastAsia="zh-CN"/>
        </w:rPr>
        <w:t>15日历日</w:t>
      </w:r>
      <w:r>
        <w:rPr>
          <w:rFonts w:hint="eastAsia" w:ascii="宋体" w:hAnsi="宋体" w:cs="宋体"/>
          <w:color w:val="auto"/>
          <w:highlight w:val="none"/>
          <w:lang w:val="en-US" w:eastAsia="zh-CN"/>
        </w:rPr>
        <w:t>。</w:t>
      </w:r>
    </w:p>
    <w:p>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、本项目不接受联合体响应。</w:t>
      </w:r>
    </w:p>
    <w:p>
      <w:pPr>
        <w:adjustRightInd w:val="0"/>
        <w:snapToGrid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10、资格审查：开标后资格审查。</w:t>
      </w:r>
    </w:p>
    <w:p>
      <w:pPr>
        <w:adjustRightInd w:val="0"/>
        <w:snapToGrid w:val="0"/>
        <w:spacing w:line="360" w:lineRule="auto"/>
        <w:ind w:firstLine="420" w:firstLineChars="200"/>
        <w:rPr>
          <w:rFonts w:ascii="宋体" w:hAnsi="宋体" w:cs="宋体"/>
          <w:b/>
          <w:color w:val="auto"/>
          <w:kern w:val="1"/>
          <w:szCs w:val="21"/>
          <w:highlight w:val="none"/>
        </w:rPr>
      </w:pPr>
      <w:r>
        <w:rPr>
          <w:rFonts w:hint="eastAsia" w:ascii="宋体" w:hAnsi="宋体" w:eastAsia="宋体" w:cs="宋体"/>
          <w:color w:val="auto"/>
          <w:highlight w:val="none"/>
          <w:lang w:val="en-US" w:eastAsia="zh-CN"/>
        </w:rPr>
        <w:t>三</w:t>
      </w:r>
      <w:r>
        <w:rPr>
          <w:rFonts w:hint="eastAsia" w:ascii="宋体" w:hAnsi="宋体" w:cs="宋体"/>
          <w:b/>
          <w:color w:val="auto"/>
          <w:kern w:val="1"/>
          <w:szCs w:val="21"/>
          <w:highlight w:val="none"/>
        </w:rPr>
        <w:t>、</w:t>
      </w:r>
      <w:r>
        <w:rPr>
          <w:rFonts w:hint="eastAsia" w:ascii="宋体" w:hAnsi="宋体" w:cs="宋体"/>
          <w:b/>
          <w:bCs/>
          <w:color w:val="auto"/>
          <w:highlight w:val="none"/>
        </w:rPr>
        <w:t>供应商的资格要求</w:t>
      </w:r>
    </w:p>
    <w:p>
      <w:pPr>
        <w:adjustRightInd w:val="0"/>
        <w:snapToGrid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1、供应商需具备《中华人民共和国政府采购法》第二十二条规定的基本资格条件，并提供以下资格证明文件：</w:t>
      </w:r>
    </w:p>
    <w:p>
      <w:pPr>
        <w:adjustRightInd w:val="0"/>
        <w:snapToGrid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（1）具有独立承担民事责任的能力；</w:t>
      </w:r>
    </w:p>
    <w:p>
      <w:pPr>
        <w:adjustRightInd w:val="0"/>
        <w:snapToGrid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（2）具有良好的商业信誉和健全的财务会计制度；</w:t>
      </w:r>
    </w:p>
    <w:p>
      <w:pPr>
        <w:adjustRightInd w:val="0"/>
        <w:snapToGrid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（3）具有履行合同所必需的设备和专业技术能力；</w:t>
      </w:r>
    </w:p>
    <w:p>
      <w:pPr>
        <w:adjustRightInd w:val="0"/>
        <w:snapToGrid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（4）有依法缴纳税收和社会保障资金的良好记录；</w:t>
      </w:r>
    </w:p>
    <w:p>
      <w:pPr>
        <w:adjustRightInd w:val="0"/>
        <w:snapToGrid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（5）参加政府采购活动前三年内，在经营活动中没有重大违法记录；</w:t>
      </w:r>
    </w:p>
    <w:p>
      <w:pPr>
        <w:adjustRightInd w:val="0"/>
        <w:snapToGrid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（6）法律、行政法规规定的其他条件。</w:t>
      </w:r>
    </w:p>
    <w:p>
      <w:p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s="宋体"/>
          <w:color w:val="auto"/>
          <w:highlight w:val="none"/>
          <w:lang w:val="en-US" w:eastAsia="zh-CN"/>
        </w:rPr>
        <w:t>2、落实政府采购政策需满足的资格要求：</w:t>
      </w:r>
      <w:r>
        <w:rPr>
          <w:rFonts w:hint="eastAsia" w:ascii="宋体" w:hAnsi="宋体"/>
          <w:color w:val="auto"/>
          <w:szCs w:val="21"/>
          <w:highlight w:val="none"/>
          <w:lang w:val="en-US" w:eastAsia="zh-CN"/>
        </w:rPr>
        <w:t>本项目专门面向中小企业采购，不对价格评审进行政策优惠。</w:t>
      </w:r>
    </w:p>
    <w:p>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3、本项目的特定资格要求：</w:t>
      </w:r>
    </w:p>
    <w:p>
      <w:p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olor w:val="auto"/>
          <w:szCs w:val="21"/>
          <w:highlight w:val="none"/>
          <w:lang w:val="en-US" w:eastAsia="zh-CN"/>
        </w:rPr>
        <w:t>供应商需出具中小企业声明函，并加盖公章。</w:t>
      </w:r>
    </w:p>
    <w:p>
      <w:p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（2）供应商必须具备会计师事务所执业证书。</w:t>
      </w:r>
    </w:p>
    <w:p>
      <w:pPr>
        <w:spacing w:line="360" w:lineRule="auto"/>
        <w:ind w:firstLine="210" w:firstLineChars="100"/>
        <w:rPr>
          <w:rFonts w:hint="eastAsia" w:ascii="宋体" w:hAnsi="宋体" w:cs="宋体"/>
          <w:color w:val="auto"/>
          <w:highlight w:val="none"/>
        </w:rPr>
      </w:pPr>
      <w:r>
        <w:rPr>
          <w:rFonts w:hint="eastAsia" w:ascii="宋体" w:hAnsi="宋体" w:cs="宋体"/>
          <w:color w:val="auto"/>
          <w:highlight w:val="none"/>
        </w:rPr>
        <w:t>4、单位负责人为同一人或者存在直接控股、管理关系的不同</w:t>
      </w:r>
      <w:r>
        <w:rPr>
          <w:rFonts w:hint="eastAsia" w:ascii="宋体" w:hAnsi="宋体" w:cs="宋体"/>
          <w:color w:val="auto"/>
          <w:highlight w:val="none"/>
          <w:lang w:eastAsia="zh-CN"/>
        </w:rPr>
        <w:t>供应商</w:t>
      </w:r>
      <w:r>
        <w:rPr>
          <w:rFonts w:hint="eastAsia" w:ascii="宋体" w:hAnsi="宋体" w:cs="宋体"/>
          <w:color w:val="auto"/>
          <w:highlight w:val="none"/>
        </w:rPr>
        <w:t>，不得参加同一合同项下的政府采购活动。</w:t>
      </w:r>
    </w:p>
    <w:p>
      <w:pPr>
        <w:spacing w:line="360" w:lineRule="auto"/>
        <w:ind w:firstLine="210" w:firstLineChars="100"/>
        <w:rPr>
          <w:rFonts w:hint="eastAsia" w:ascii="宋体" w:hAnsi="宋体" w:cs="宋体"/>
          <w:color w:val="auto"/>
          <w:highlight w:val="none"/>
        </w:rPr>
      </w:pPr>
      <w:r>
        <w:rPr>
          <w:rFonts w:hint="eastAsia" w:ascii="宋体" w:hAnsi="宋体" w:cs="宋体"/>
          <w:color w:val="auto"/>
          <w:highlight w:val="none"/>
        </w:rPr>
        <w:t>5、为本采购项目提供整体设计、规范编制或者项目管理、监理、检测等服务的，不得再参加此项目的其他招标采购活动。</w:t>
      </w:r>
    </w:p>
    <w:p>
      <w:pPr>
        <w:spacing w:line="360" w:lineRule="auto"/>
        <w:ind w:firstLine="210" w:firstLineChars="100"/>
        <w:rPr>
          <w:rFonts w:hint="eastAsia" w:ascii="宋体" w:hAnsi="宋体" w:cs="宋体"/>
          <w:color w:val="auto"/>
          <w:highlight w:val="none"/>
        </w:rPr>
      </w:pPr>
      <w:r>
        <w:rPr>
          <w:rFonts w:hint="eastAsia" w:ascii="宋体" w:hAnsi="宋体" w:cs="宋体"/>
          <w:color w:val="auto"/>
          <w:highlight w:val="none"/>
        </w:rPr>
        <w:t>6、列入失信被执行人、重大税收违法案件当事人名单，列入政府采购严重违法失信行为记录名单的，拒绝其参与政府采购活动。</w:t>
      </w:r>
    </w:p>
    <w:p>
      <w:pPr>
        <w:spacing w:line="360" w:lineRule="auto"/>
        <w:ind w:firstLine="422" w:firstLineChars="200"/>
        <w:rPr>
          <w:rFonts w:ascii="宋体"/>
          <w:b/>
          <w:bCs/>
          <w:color w:val="auto"/>
          <w:highlight w:val="none"/>
        </w:rPr>
      </w:pPr>
      <w:r>
        <w:rPr>
          <w:rFonts w:hint="eastAsia" w:ascii="宋体" w:hAnsi="宋体" w:cs="宋体"/>
          <w:b/>
          <w:bCs/>
          <w:color w:val="auto"/>
          <w:highlight w:val="none"/>
        </w:rPr>
        <w:t>四、获取采购文件</w:t>
      </w:r>
    </w:p>
    <w:p>
      <w:pPr>
        <w:spacing w:line="360" w:lineRule="auto"/>
        <w:ind w:firstLine="210" w:firstLineChars="100"/>
        <w:rPr>
          <w:rFonts w:hint="eastAsia" w:ascii="宋体" w:hAnsi="宋体" w:cs="宋体"/>
          <w:color w:val="auto"/>
          <w:highlight w:val="none"/>
          <w:lang w:val="en-US" w:eastAsia="zh-CN"/>
        </w:rPr>
      </w:pPr>
      <w:r>
        <w:rPr>
          <w:rFonts w:hint="eastAsia" w:ascii="宋体" w:hAnsi="宋体" w:cs="宋体"/>
          <w:color w:val="auto"/>
          <w:highlight w:val="none"/>
          <w:lang w:val="en-US" w:eastAsia="zh-CN"/>
        </w:rPr>
        <w:t>磋商文件获取：</w:t>
      </w:r>
      <w:r>
        <w:rPr>
          <w:rFonts w:hint="eastAsia" w:ascii="宋体" w:hAnsi="宋体" w:cs="宋体"/>
          <w:color w:val="auto"/>
          <w:highlight w:val="yellow"/>
          <w:lang w:val="en-US" w:eastAsia="zh-CN"/>
        </w:rPr>
        <w:t>于2023年7月20日至 2023年7月26日</w:t>
      </w:r>
      <w:r>
        <w:rPr>
          <w:rFonts w:hint="eastAsia" w:ascii="宋体" w:hAnsi="宋体" w:cs="宋体"/>
          <w:color w:val="auto"/>
          <w:highlight w:val="none"/>
          <w:lang w:val="en-US" w:eastAsia="zh-CN"/>
        </w:rPr>
        <w:t>在</w:t>
      </w:r>
      <w:r>
        <w:rPr>
          <w:rFonts w:hint="eastAsia" w:ascii="宋体" w:hAnsi="宋体" w:cs="宋体"/>
          <w:color w:val="auto"/>
          <w:highlight w:val="none"/>
          <w:lang w:eastAsia="zh-CN"/>
        </w:rPr>
        <w:t>湘能卓信项目管理有限公司</w:t>
      </w:r>
      <w:r>
        <w:rPr>
          <w:rFonts w:hint="eastAsia" w:ascii="宋体" w:hAnsi="宋体" w:cs="宋体"/>
          <w:color w:val="auto"/>
          <w:highlight w:val="none"/>
          <w:lang w:val="en-US" w:eastAsia="zh-CN"/>
        </w:rPr>
        <w:t>报名领取磋商文件。地址为：</w:t>
      </w:r>
      <w:r>
        <w:rPr>
          <w:rFonts w:hint="eastAsia" w:ascii="宋体" w:hAnsi="宋体" w:cs="宋体"/>
          <w:color w:val="auto"/>
          <w:highlight w:val="none"/>
          <w:lang w:eastAsia="zh-CN"/>
        </w:rPr>
        <w:t>娄底市娄星区吉星南路3大桥对江村（导航湘能卓信即可）</w:t>
      </w:r>
      <w:r>
        <w:rPr>
          <w:rFonts w:hint="eastAsia" w:ascii="宋体" w:hAnsi="宋体" w:cs="宋体"/>
          <w:color w:val="auto"/>
          <w:highlight w:val="none"/>
          <w:lang w:val="en-US" w:eastAsia="zh-CN"/>
        </w:rPr>
        <w:t>。</w:t>
      </w:r>
    </w:p>
    <w:p>
      <w:pPr>
        <w:adjustRightInd w:val="0"/>
        <w:snapToGrid w:val="0"/>
        <w:spacing w:line="360" w:lineRule="auto"/>
        <w:ind w:firstLine="422" w:firstLineChars="200"/>
        <w:outlineLvl w:val="0"/>
        <w:rPr>
          <w:rFonts w:ascii="宋体"/>
          <w:b/>
          <w:bCs/>
          <w:color w:val="auto"/>
          <w:highlight w:val="none"/>
        </w:rPr>
      </w:pPr>
      <w:r>
        <w:rPr>
          <w:rFonts w:hint="eastAsia" w:ascii="宋体" w:hAnsi="宋体" w:cs="宋体"/>
          <w:b/>
          <w:bCs/>
          <w:color w:val="auto"/>
          <w:highlight w:val="none"/>
          <w:lang w:val="en-US" w:eastAsia="zh-CN"/>
        </w:rPr>
        <w:t>五</w:t>
      </w:r>
      <w:r>
        <w:rPr>
          <w:rFonts w:hint="eastAsia" w:ascii="宋体" w:hAnsi="宋体" w:cs="宋体"/>
          <w:b/>
          <w:bCs/>
          <w:color w:val="auto"/>
          <w:highlight w:val="none"/>
        </w:rPr>
        <w:t>、响应文件提交</w:t>
      </w:r>
    </w:p>
    <w:p>
      <w:pPr>
        <w:spacing w:line="360" w:lineRule="auto"/>
        <w:ind w:firstLine="210" w:firstLineChars="100"/>
        <w:rPr>
          <w:rFonts w:hint="eastAsia" w:ascii="宋体" w:hAnsi="宋体" w:cs="宋体"/>
          <w:color w:val="auto"/>
          <w:highlight w:val="none"/>
          <w:lang w:val="en-US" w:eastAsia="zh-CN"/>
        </w:rPr>
      </w:pPr>
      <w:r>
        <w:rPr>
          <w:rFonts w:hint="eastAsia" w:ascii="宋体" w:hAnsi="宋体" w:cs="宋体"/>
          <w:color w:val="auto"/>
          <w:highlight w:val="none"/>
          <w:lang w:val="en-US" w:eastAsia="zh-CN"/>
        </w:rPr>
        <w:t>1、提交响应文件的截止时间</w:t>
      </w:r>
      <w:r>
        <w:rPr>
          <w:rFonts w:hint="eastAsia" w:ascii="宋体" w:hAnsi="宋体" w:cs="宋体"/>
          <w:color w:val="auto"/>
          <w:highlight w:val="yellow"/>
          <w:lang w:val="en-US" w:eastAsia="zh-CN"/>
        </w:rPr>
        <w:t>为2023年7月31日（星期一 ）15</w:t>
      </w:r>
      <w:bookmarkStart w:id="21" w:name="_GoBack"/>
      <w:bookmarkEnd w:id="21"/>
      <w:r>
        <w:rPr>
          <w:rFonts w:hint="eastAsia" w:ascii="宋体" w:hAnsi="宋体" w:cs="宋体"/>
          <w:color w:val="auto"/>
          <w:highlight w:val="yellow"/>
          <w:lang w:val="en-US" w:eastAsia="zh-CN"/>
        </w:rPr>
        <w:t xml:space="preserve"> 时00分 (</w:t>
      </w:r>
      <w:r>
        <w:rPr>
          <w:rFonts w:hint="eastAsia" w:ascii="宋体" w:hAnsi="宋体" w:cs="宋体"/>
          <w:color w:val="auto"/>
          <w:highlight w:val="none"/>
          <w:lang w:val="en-US" w:eastAsia="zh-CN"/>
        </w:rPr>
        <w:t>北京时间)。</w:t>
      </w:r>
    </w:p>
    <w:p>
      <w:pPr>
        <w:spacing w:line="360" w:lineRule="auto"/>
        <w:ind w:firstLine="210" w:firstLineChars="1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2、地点为湘能卓信项目管理有限公司（</w:t>
      </w:r>
      <w:r>
        <w:rPr>
          <w:rFonts w:hint="eastAsia" w:ascii="宋体" w:hAnsi="宋体" w:cs="宋体"/>
          <w:color w:val="auto"/>
          <w:highlight w:val="none"/>
          <w:lang w:eastAsia="zh-CN"/>
        </w:rPr>
        <w:t>娄底市娄星区吉星南路3大桥对江村</w:t>
      </w:r>
      <w:r>
        <w:rPr>
          <w:rFonts w:hint="eastAsia" w:ascii="宋体" w:hAnsi="宋体" w:cs="宋体"/>
          <w:color w:val="auto"/>
          <w:highlight w:val="none"/>
          <w:lang w:val="en-US" w:eastAsia="zh-CN"/>
        </w:rPr>
        <w:t>）开标室 。在截止时间后送达的响应文件为无效文件，采购人、采购代理机构或者磋商小组应当拒收。</w:t>
      </w:r>
    </w:p>
    <w:p>
      <w:pPr>
        <w:spacing w:line="480" w:lineRule="auto"/>
        <w:ind w:firstLine="211" w:firstLineChars="100"/>
        <w:outlineLvl w:val="0"/>
        <w:rPr>
          <w:rFonts w:ascii="宋体" w:hAnsi="宋体" w:cs="宋体"/>
          <w:b/>
          <w:bCs/>
          <w:color w:val="auto"/>
          <w:highlight w:val="none"/>
        </w:rPr>
      </w:pPr>
      <w:r>
        <w:rPr>
          <w:rFonts w:hint="eastAsia" w:ascii="宋体" w:hAnsi="宋体" w:cs="宋体"/>
          <w:b/>
          <w:bCs/>
          <w:color w:val="auto"/>
          <w:highlight w:val="none"/>
          <w:lang w:val="en-US" w:eastAsia="zh-CN"/>
        </w:rPr>
        <w:t>六</w:t>
      </w:r>
      <w:r>
        <w:rPr>
          <w:rFonts w:hint="eastAsia" w:ascii="宋体" w:hAnsi="宋体" w:cs="宋体"/>
          <w:b/>
          <w:bCs/>
          <w:color w:val="auto"/>
          <w:highlight w:val="none"/>
        </w:rPr>
        <w:t>、公告期限：</w:t>
      </w:r>
      <w:r>
        <w:rPr>
          <w:rFonts w:hint="eastAsia" w:ascii="宋体" w:hAnsi="宋体" w:cs="宋体"/>
          <w:bCs/>
          <w:color w:val="auto"/>
          <w:highlight w:val="none"/>
        </w:rPr>
        <w:t>自本</w:t>
      </w:r>
      <w:r>
        <w:rPr>
          <w:rFonts w:hint="eastAsia" w:ascii="宋体" w:hAnsi="宋体" w:cs="宋体"/>
          <w:color w:val="auto"/>
          <w:highlight w:val="none"/>
        </w:rPr>
        <w:t>公告发布之日起3个工作日</w:t>
      </w:r>
    </w:p>
    <w:p>
      <w:pPr>
        <w:adjustRightInd w:val="0"/>
        <w:snapToGrid w:val="0"/>
        <w:spacing w:line="360" w:lineRule="auto"/>
        <w:ind w:firstLine="211" w:firstLineChars="100"/>
        <w:rPr>
          <w:rFonts w:hint="eastAsia" w:ascii="宋体" w:hAnsi="宋体" w:cs="宋体"/>
          <w:b/>
          <w:bCs/>
          <w:color w:val="auto"/>
          <w:highlight w:val="none"/>
        </w:rPr>
      </w:pPr>
      <w:r>
        <w:rPr>
          <w:rFonts w:hint="eastAsia" w:ascii="宋体" w:hAnsi="宋体" w:cs="宋体"/>
          <w:b/>
          <w:bCs/>
          <w:color w:val="auto"/>
          <w:highlight w:val="none"/>
          <w:lang w:val="en-US" w:eastAsia="zh-CN"/>
        </w:rPr>
        <w:t>七</w:t>
      </w:r>
      <w:r>
        <w:rPr>
          <w:rFonts w:hint="eastAsia" w:ascii="宋体" w:hAnsi="宋体" w:cs="宋体"/>
          <w:b/>
          <w:bCs/>
          <w:color w:val="auto"/>
          <w:highlight w:val="none"/>
        </w:rPr>
        <w:t>、其它补充事宜</w:t>
      </w:r>
    </w:p>
    <w:p>
      <w:pPr>
        <w:spacing w:line="360" w:lineRule="auto"/>
        <w:ind w:firstLine="210" w:firstLineChars="100"/>
        <w:rPr>
          <w:rFonts w:hint="default" w:ascii="宋体" w:hAnsi="宋体" w:cs="宋体"/>
          <w:color w:val="auto"/>
          <w:highlight w:val="none"/>
          <w:lang w:val="en-US" w:eastAsia="zh-CN"/>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保证金交纳</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本项目不需要缴纳保证金。</w:t>
      </w:r>
    </w:p>
    <w:p>
      <w:pPr>
        <w:spacing w:line="440" w:lineRule="exact"/>
        <w:ind w:firstLine="211" w:firstLineChars="100"/>
        <w:rPr>
          <w:rFonts w:ascii="宋体" w:hAnsi="宋体" w:cs="宋体"/>
          <w:b/>
          <w:bCs/>
          <w:color w:val="auto"/>
          <w:highlight w:val="none"/>
        </w:rPr>
      </w:pPr>
      <w:r>
        <w:rPr>
          <w:rFonts w:hint="eastAsia" w:ascii="宋体" w:hAnsi="宋体" w:cs="宋体"/>
          <w:b/>
          <w:bCs/>
          <w:color w:val="auto"/>
          <w:szCs w:val="21"/>
          <w:highlight w:val="none"/>
          <w:lang w:val="en-US" w:eastAsia="zh-CN"/>
        </w:rPr>
        <w:t>八</w:t>
      </w:r>
      <w:r>
        <w:rPr>
          <w:rFonts w:hint="eastAsia" w:ascii="宋体" w:hAnsi="宋体" w:cs="宋体"/>
          <w:b/>
          <w:bCs/>
          <w:color w:val="auto"/>
          <w:highlight w:val="none"/>
        </w:rPr>
        <w:t>、凡对本次采购提出询问，请按以下方式联系。</w:t>
      </w:r>
    </w:p>
    <w:p>
      <w:p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采  购  人：娄底市万宝新区开发投资集团有限公司、湖南娄底路桥建设有限责任公司      </w:t>
      </w:r>
    </w:p>
    <w:p>
      <w:p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联   系  人：苏先生 </w:t>
      </w:r>
    </w:p>
    <w:p>
      <w:pPr>
        <w:adjustRightInd w:val="0"/>
        <w:snapToGrid w:val="0"/>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电       话：07388186022</w:t>
      </w:r>
    </w:p>
    <w:p>
      <w:p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地      址： 娄底市娄星区静安街百弘学府城B6栋     </w:t>
      </w:r>
    </w:p>
    <w:p>
      <w:p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采购代理机构 湘能卓信项目管理有限公司</w:t>
      </w:r>
    </w:p>
    <w:p>
      <w:p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联系人：罗小波 </w:t>
      </w:r>
    </w:p>
    <w:p>
      <w:p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电  话：18081278587  </w:t>
      </w:r>
    </w:p>
    <w:p>
      <w:p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地  址：娄底市娄星区吉星南路3大桥对江村</w:t>
      </w:r>
    </w:p>
    <w:p>
      <w:pPr>
        <w:rPr>
          <w:rFonts w:ascii="宋体" w:hAnsi="宋体" w:cs="宋体"/>
          <w:color w:val="auto"/>
          <w:szCs w:val="21"/>
          <w:highlight w:val="none"/>
        </w:rPr>
      </w:pPr>
      <w:r>
        <w:rPr>
          <w:rFonts w:ascii="宋体" w:hAnsi="宋体" w:cs="宋体"/>
          <w:color w:val="auto"/>
          <w:szCs w:val="21"/>
          <w:highlight w:val="none"/>
        </w:rPr>
        <w:br w:type="page"/>
      </w:r>
    </w:p>
    <w:p>
      <w:pPr>
        <w:spacing w:line="440" w:lineRule="exact"/>
        <w:ind w:firstLine="321" w:firstLineChars="100"/>
        <w:jc w:val="center"/>
        <w:rPr>
          <w:rFonts w:ascii="宋体" w:hAnsi="宋体" w:cs="宋体"/>
          <w:color w:val="auto"/>
          <w:szCs w:val="21"/>
          <w:highlight w:val="none"/>
        </w:rPr>
      </w:pPr>
      <w:r>
        <w:rPr>
          <w:rFonts w:hint="eastAsia" w:hAnsi="宋体" w:cs="宋体"/>
          <w:b/>
          <w:color w:val="auto"/>
          <w:sz w:val="32"/>
          <w:szCs w:val="32"/>
          <w:highlight w:val="none"/>
        </w:rPr>
        <w:t>第二章 磋商须知</w:t>
      </w:r>
    </w:p>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磋商须知前附表</w:t>
      </w:r>
    </w:p>
    <w:p>
      <w:pPr>
        <w:pStyle w:val="20"/>
        <w:rPr>
          <w:rFonts w:hint="eastAsia" w:hAnsi="宋体" w:cs="宋体"/>
          <w:color w:val="auto"/>
          <w:highlight w:val="none"/>
        </w:rPr>
      </w:pPr>
      <w:r>
        <w:rPr>
          <w:rFonts w:hint="eastAsia" w:hAnsi="宋体" w:cs="宋体"/>
          <w:color w:val="auto"/>
          <w:highlight w:val="none"/>
        </w:rPr>
        <w:t>注:</w:t>
      </w:r>
      <w:r>
        <w:rPr>
          <w:rFonts w:hint="eastAsia" w:hAnsi="宋体"/>
          <w:color w:val="auto"/>
          <w:highlight w:val="none"/>
        </w:rPr>
        <w:t>请在标示方框□内用的“■”标记条款，</w:t>
      </w:r>
      <w:r>
        <w:rPr>
          <w:rFonts w:hint="eastAsia" w:hAnsi="宋体" w:cs="宋体"/>
          <w:color w:val="auto"/>
          <w:highlight w:val="none"/>
        </w:rPr>
        <w:t>在“条款号”内限选一项。</w:t>
      </w:r>
    </w:p>
    <w:tbl>
      <w:tblPr>
        <w:tblStyle w:val="32"/>
        <w:tblW w:w="93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71"/>
        <w:gridCol w:w="1720"/>
        <w:gridCol w:w="592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93" w:hRule="atLeast"/>
          <w:tblHeader/>
          <w:jc w:val="center"/>
        </w:trPr>
        <w:tc>
          <w:tcPr>
            <w:tcW w:w="1671" w:type="dxa"/>
            <w:vAlign w:val="center"/>
          </w:tcPr>
          <w:p>
            <w:pPr>
              <w:jc w:val="left"/>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条款号</w:t>
            </w:r>
          </w:p>
        </w:tc>
        <w:tc>
          <w:tcPr>
            <w:tcW w:w="1720" w:type="dxa"/>
            <w:vAlign w:val="center"/>
          </w:tcPr>
          <w:p>
            <w:pPr>
              <w:jc w:val="left"/>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条款名称</w:t>
            </w:r>
          </w:p>
        </w:tc>
        <w:tc>
          <w:tcPr>
            <w:tcW w:w="5928" w:type="dxa"/>
            <w:vAlign w:val="center"/>
          </w:tcPr>
          <w:p>
            <w:pPr>
              <w:jc w:val="left"/>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4" w:hRule="atLeast"/>
          <w:jc w:val="center"/>
        </w:trPr>
        <w:tc>
          <w:tcPr>
            <w:tcW w:w="9319" w:type="dxa"/>
            <w:gridSpan w:val="3"/>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385"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第二章第1.1款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采购项目</w:t>
            </w:r>
          </w:p>
        </w:tc>
        <w:tc>
          <w:tcPr>
            <w:tcW w:w="5928"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eastAsia="zh-CN"/>
              </w:rPr>
              <w:t>娄星南路北段及众园路建设工程回购款利息及借款利息咨询服务项目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97"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第二章第2.1款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采购人</w:t>
            </w:r>
          </w:p>
        </w:tc>
        <w:tc>
          <w:tcPr>
            <w:tcW w:w="5928"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采购人：</w:t>
            </w:r>
            <w:r>
              <w:rPr>
                <w:rFonts w:hint="eastAsia" w:ascii="宋体" w:hAnsi="宋体" w:cs="宋体"/>
                <w:color w:val="auto"/>
                <w:sz w:val="22"/>
                <w:szCs w:val="28"/>
                <w:highlight w:val="none"/>
                <w:lang w:eastAsia="zh-CN"/>
              </w:rPr>
              <w:t>娄底市万宝新区开发投资集团有限公司、湖南娄底路桥建设有限责任公司</w:t>
            </w:r>
          </w:p>
          <w:p>
            <w:pPr>
              <w:jc w:val="left"/>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eastAsia="zh-CN"/>
              </w:rPr>
              <w:t>联系方式：</w:t>
            </w:r>
            <w:r>
              <w:rPr>
                <w:rFonts w:hint="eastAsia" w:ascii="宋体" w:hAnsi="宋体" w:cs="宋体"/>
                <w:color w:val="auto"/>
                <w:sz w:val="22"/>
                <w:szCs w:val="28"/>
                <w:highlight w:val="none"/>
                <w:lang w:val="en-US" w:eastAsia="zh-CN"/>
              </w:rPr>
              <w:t>07388186022</w:t>
            </w:r>
          </w:p>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地  址：</w:t>
            </w:r>
            <w:r>
              <w:rPr>
                <w:rFonts w:hint="eastAsia" w:ascii="宋体" w:hAnsi="宋体" w:cs="宋体"/>
                <w:color w:val="auto"/>
                <w:sz w:val="22"/>
                <w:szCs w:val="28"/>
                <w:highlight w:val="none"/>
                <w:lang w:eastAsia="zh-CN"/>
              </w:rPr>
              <w:t>娄底市娄星区静安街百弘学府城B6栋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50"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第二章第2.2款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采购代理机构</w:t>
            </w:r>
          </w:p>
        </w:tc>
        <w:tc>
          <w:tcPr>
            <w:tcW w:w="5928"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采购代理机构：湘能卓信项目管理有限公司</w:t>
            </w:r>
          </w:p>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地    址：</w:t>
            </w:r>
            <w:r>
              <w:rPr>
                <w:rFonts w:hint="eastAsia" w:ascii="宋体" w:hAnsi="宋体" w:eastAsia="宋体" w:cs="宋体"/>
                <w:color w:val="auto"/>
                <w:sz w:val="22"/>
                <w:szCs w:val="28"/>
                <w:highlight w:val="none"/>
                <w:lang w:val="en-US" w:eastAsia="zh-CN"/>
              </w:rPr>
              <w:t>娄底市娄星区吉星南路3大桥对江村</w:t>
            </w:r>
          </w:p>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联系方式：</w:t>
            </w:r>
            <w:r>
              <w:rPr>
                <w:rFonts w:hint="eastAsia" w:ascii="宋体" w:hAnsi="宋体" w:eastAsia="宋体" w:cs="宋体"/>
                <w:color w:val="auto"/>
                <w:sz w:val="22"/>
                <w:szCs w:val="28"/>
                <w:highlight w:val="none"/>
                <w:lang w:val="en-US" w:eastAsia="zh-CN"/>
              </w:rPr>
              <w:t>18081278587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第二章第2.3款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供应商的邀请方式</w:t>
            </w:r>
          </w:p>
        </w:tc>
        <w:tc>
          <w:tcPr>
            <w:tcW w:w="5928"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 发布公告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18"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第二章第3.1款</w:t>
            </w:r>
          </w:p>
          <w:p>
            <w:pPr>
              <w:jc w:val="left"/>
              <w:rPr>
                <w:rFonts w:hint="eastAsia" w:ascii="宋体" w:hAnsi="宋体" w:eastAsia="宋体" w:cs="宋体"/>
                <w:color w:val="auto"/>
                <w:sz w:val="22"/>
                <w:szCs w:val="28"/>
                <w:highlight w:val="none"/>
                <w:lang w:eastAsia="zh-CN"/>
              </w:rPr>
            </w:pP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供应商资格条件</w:t>
            </w:r>
          </w:p>
          <w:p>
            <w:pPr>
              <w:jc w:val="left"/>
              <w:rPr>
                <w:rFonts w:hint="eastAsia" w:ascii="宋体" w:hAnsi="宋体" w:eastAsia="宋体" w:cs="宋体"/>
                <w:color w:val="auto"/>
                <w:sz w:val="22"/>
                <w:szCs w:val="28"/>
                <w:highlight w:val="none"/>
                <w:lang w:eastAsia="zh-CN"/>
              </w:rPr>
            </w:pPr>
          </w:p>
        </w:tc>
        <w:tc>
          <w:tcPr>
            <w:tcW w:w="5928" w:type="dxa"/>
            <w:vAlign w:val="center"/>
          </w:tcPr>
          <w:p>
            <w:pPr>
              <w:keepNext w:val="0"/>
              <w:keepLines w:val="0"/>
              <w:pageBreakBefore w:val="0"/>
              <w:widowControl w:val="0"/>
              <w:kinsoku/>
              <w:overflowPunct/>
              <w:topLinePunct w:val="0"/>
              <w:autoSpaceDE/>
              <w:autoSpaceDN/>
              <w:bidi w:val="0"/>
              <w:adjustRightInd w:val="0"/>
              <w:snapToGrid w:val="0"/>
              <w:spacing w:line="360" w:lineRule="exact"/>
              <w:jc w:val="left"/>
              <w:textAlignment w:val="auto"/>
              <w:outlineLvl w:val="9"/>
              <w:rPr>
                <w:rFonts w:ascii="宋体" w:hAnsi="宋体"/>
                <w:color w:val="auto"/>
                <w:sz w:val="21"/>
                <w:szCs w:val="21"/>
                <w:highlight w:val="none"/>
              </w:rPr>
            </w:pPr>
            <w:r>
              <w:rPr>
                <w:rFonts w:hint="eastAsia" w:ascii="宋体" w:hAnsi="宋体"/>
                <w:color w:val="auto"/>
                <w:szCs w:val="21"/>
                <w:highlight w:val="none"/>
              </w:rPr>
              <w:t>1、</w:t>
            </w:r>
            <w:r>
              <w:rPr>
                <w:rFonts w:hint="eastAsia" w:ascii="宋体" w:hAnsi="宋体"/>
                <w:color w:val="auto"/>
                <w:sz w:val="21"/>
                <w:szCs w:val="21"/>
                <w:highlight w:val="none"/>
              </w:rPr>
              <w:t>基本资格条件：符合《中华人民共和国政府采购法》第二十二条规定的供应商条件，并提供以下资格证明文件</w:t>
            </w:r>
          </w:p>
          <w:p>
            <w:pPr>
              <w:keepNext w:val="0"/>
              <w:keepLines w:val="0"/>
              <w:pageBreakBefore w:val="0"/>
              <w:widowControl w:val="0"/>
              <w:kinsoku/>
              <w:overflowPunct/>
              <w:topLinePunct w:val="0"/>
              <w:autoSpaceDE/>
              <w:autoSpaceDN/>
              <w:bidi w:val="0"/>
              <w:adjustRightInd w:val="0"/>
              <w:snapToGrid w:val="0"/>
              <w:spacing w:line="360" w:lineRule="exact"/>
              <w:jc w:val="left"/>
              <w:textAlignment w:val="auto"/>
              <w:outlineLvl w:val="9"/>
              <w:rPr>
                <w:rFonts w:ascii="宋体" w:hAnsi="宋体"/>
                <w:color w:val="auto"/>
                <w:sz w:val="21"/>
                <w:szCs w:val="21"/>
                <w:highlight w:val="none"/>
              </w:rPr>
            </w:pPr>
            <w:r>
              <w:rPr>
                <w:rFonts w:hint="eastAsia" w:ascii="宋体" w:hAnsi="宋体"/>
                <w:color w:val="auto"/>
                <w:sz w:val="21"/>
                <w:szCs w:val="21"/>
                <w:highlight w:val="none"/>
              </w:rPr>
              <w:t>（1）法人提交企业法人营业执照副本(或者法人登记证书)以及组织机构代码证副本复印件；</w:t>
            </w:r>
          </w:p>
          <w:p>
            <w:pPr>
              <w:keepNext w:val="0"/>
              <w:keepLines w:val="0"/>
              <w:pageBreakBefore w:val="0"/>
              <w:widowControl w:val="0"/>
              <w:kinsoku/>
              <w:wordWrap w:val="0"/>
              <w:overflowPunct/>
              <w:topLinePunct w:val="0"/>
              <w:autoSpaceDE/>
              <w:autoSpaceDN/>
              <w:bidi w:val="0"/>
              <w:adjustRightInd w:val="0"/>
              <w:snapToGrid w:val="0"/>
              <w:spacing w:line="460" w:lineRule="exact"/>
              <w:textAlignment w:val="auto"/>
              <w:outlineLvl w:val="9"/>
              <w:rPr>
                <w:rFonts w:hint="eastAsia" w:ascii="宋体" w:hAnsi="宋体"/>
                <w:color w:val="auto"/>
                <w:szCs w:val="21"/>
                <w:highlight w:val="none"/>
              </w:rPr>
            </w:pPr>
            <w:r>
              <w:rPr>
                <w:rFonts w:hint="eastAsia" w:ascii="宋体" w:hAnsi="宋体"/>
                <w:color w:val="auto"/>
                <w:szCs w:val="21"/>
                <w:highlight w:val="none"/>
              </w:rPr>
              <w:t>（2）具有良好的商业信誉和健全的财务会计制度</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在</w:t>
            </w:r>
            <w:r>
              <w:rPr>
                <w:rFonts w:hint="eastAsia" w:ascii="宋体" w:hAnsi="宋体"/>
                <w:color w:val="auto"/>
                <w:szCs w:val="21"/>
                <w:highlight w:val="none"/>
              </w:rPr>
              <w:t>磋商响应声明</w:t>
            </w:r>
            <w:r>
              <w:rPr>
                <w:rFonts w:hint="eastAsia" w:ascii="宋体" w:hAnsi="宋体"/>
                <w:color w:val="auto"/>
                <w:szCs w:val="21"/>
                <w:highlight w:val="none"/>
                <w:lang w:val="en-US" w:eastAsia="zh-CN"/>
              </w:rPr>
              <w:t>中承诺</w:t>
            </w:r>
            <w:r>
              <w:rPr>
                <w:rFonts w:hint="eastAsia" w:ascii="宋体" w:hAnsi="宋体"/>
                <w:color w:val="auto"/>
                <w:szCs w:val="21"/>
                <w:highlight w:val="none"/>
                <w:lang w:eastAsia="zh-CN"/>
              </w:rPr>
              <w:t>）</w:t>
            </w:r>
            <w:r>
              <w:rPr>
                <w:rFonts w:hint="eastAsia" w:ascii="宋体" w:hAnsi="宋体"/>
                <w:color w:val="auto"/>
                <w:szCs w:val="21"/>
                <w:highlight w:val="none"/>
              </w:rPr>
              <w:t>；</w:t>
            </w:r>
          </w:p>
          <w:p>
            <w:pPr>
              <w:keepNext w:val="0"/>
              <w:keepLines w:val="0"/>
              <w:pageBreakBefore w:val="0"/>
              <w:widowControl w:val="0"/>
              <w:kinsoku/>
              <w:wordWrap w:val="0"/>
              <w:overflowPunct/>
              <w:topLinePunct w:val="0"/>
              <w:autoSpaceDE/>
              <w:autoSpaceDN/>
              <w:bidi w:val="0"/>
              <w:adjustRightInd w:val="0"/>
              <w:snapToGrid w:val="0"/>
              <w:spacing w:line="460" w:lineRule="exact"/>
              <w:textAlignment w:val="auto"/>
              <w:outlineLvl w:val="9"/>
              <w:rPr>
                <w:rFonts w:ascii="宋体" w:hAnsi="宋体"/>
                <w:color w:val="auto"/>
                <w:szCs w:val="21"/>
                <w:highlight w:val="none"/>
              </w:rPr>
            </w:pPr>
            <w:r>
              <w:rPr>
                <w:rFonts w:hint="eastAsia" w:ascii="宋体" w:hAnsi="宋体"/>
                <w:color w:val="auto"/>
                <w:szCs w:val="21"/>
                <w:highlight w:val="none"/>
              </w:rPr>
              <w:t>（3）具有履行合同所必需的设备和专业技术能力</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在</w:t>
            </w:r>
            <w:r>
              <w:rPr>
                <w:rFonts w:hint="eastAsia" w:ascii="宋体" w:hAnsi="宋体"/>
                <w:color w:val="auto"/>
                <w:szCs w:val="21"/>
                <w:highlight w:val="none"/>
              </w:rPr>
              <w:t>磋商响应声明</w:t>
            </w:r>
            <w:r>
              <w:rPr>
                <w:rFonts w:hint="eastAsia" w:ascii="宋体" w:hAnsi="宋体"/>
                <w:color w:val="auto"/>
                <w:szCs w:val="21"/>
                <w:highlight w:val="none"/>
                <w:lang w:val="en-US" w:eastAsia="zh-CN"/>
              </w:rPr>
              <w:t>中承诺</w:t>
            </w:r>
            <w:r>
              <w:rPr>
                <w:rFonts w:hint="eastAsia" w:ascii="宋体" w:hAnsi="宋体"/>
                <w:color w:val="auto"/>
                <w:szCs w:val="21"/>
                <w:highlight w:val="none"/>
                <w:lang w:eastAsia="zh-CN"/>
              </w:rPr>
              <w:t>）</w:t>
            </w:r>
            <w:r>
              <w:rPr>
                <w:rFonts w:hint="eastAsia" w:ascii="宋体" w:hAnsi="宋体"/>
                <w:color w:val="auto"/>
                <w:szCs w:val="21"/>
                <w:highlight w:val="none"/>
              </w:rPr>
              <w:t>；</w:t>
            </w:r>
          </w:p>
          <w:p>
            <w:pPr>
              <w:keepNext w:val="0"/>
              <w:keepLines w:val="0"/>
              <w:pageBreakBefore w:val="0"/>
              <w:widowControl w:val="0"/>
              <w:kinsoku/>
              <w:wordWrap w:val="0"/>
              <w:overflowPunct/>
              <w:topLinePunct w:val="0"/>
              <w:autoSpaceDE/>
              <w:autoSpaceDN/>
              <w:bidi w:val="0"/>
              <w:adjustRightInd w:val="0"/>
              <w:snapToGrid w:val="0"/>
              <w:spacing w:line="460" w:lineRule="exact"/>
              <w:textAlignment w:val="auto"/>
              <w:outlineLvl w:val="9"/>
              <w:rPr>
                <w:rFonts w:ascii="宋体" w:hAnsi="宋体"/>
                <w:color w:val="auto"/>
                <w:szCs w:val="21"/>
                <w:highlight w:val="none"/>
              </w:rPr>
            </w:pPr>
            <w:r>
              <w:rPr>
                <w:rFonts w:hint="eastAsia" w:ascii="宋体" w:hAnsi="宋体"/>
                <w:color w:val="auto"/>
                <w:szCs w:val="21"/>
                <w:highlight w:val="none"/>
              </w:rPr>
              <w:t>（4）有依法缴纳税收和社会保障资金的良好记录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在</w:t>
            </w:r>
            <w:r>
              <w:rPr>
                <w:rFonts w:hint="eastAsia" w:ascii="宋体" w:hAnsi="宋体"/>
                <w:color w:val="auto"/>
                <w:szCs w:val="21"/>
                <w:highlight w:val="none"/>
              </w:rPr>
              <w:t>磋商响应声明</w:t>
            </w:r>
            <w:r>
              <w:rPr>
                <w:rFonts w:hint="eastAsia" w:ascii="宋体" w:hAnsi="宋体"/>
                <w:color w:val="auto"/>
                <w:szCs w:val="21"/>
                <w:highlight w:val="none"/>
                <w:lang w:val="en-US" w:eastAsia="zh-CN"/>
              </w:rPr>
              <w:t>中承诺</w:t>
            </w:r>
            <w:r>
              <w:rPr>
                <w:rFonts w:hint="eastAsia" w:ascii="宋体" w:hAnsi="宋体"/>
                <w:color w:val="auto"/>
                <w:szCs w:val="21"/>
                <w:highlight w:val="none"/>
                <w:lang w:eastAsia="zh-CN"/>
              </w:rPr>
              <w:t>）</w:t>
            </w:r>
            <w:r>
              <w:rPr>
                <w:rFonts w:hint="eastAsia" w:ascii="宋体" w:hAnsi="宋体"/>
                <w:color w:val="auto"/>
                <w:szCs w:val="21"/>
                <w:highlight w:val="none"/>
              </w:rPr>
              <w:t>；</w:t>
            </w:r>
          </w:p>
          <w:p>
            <w:pPr>
              <w:keepNext w:val="0"/>
              <w:keepLines w:val="0"/>
              <w:pageBreakBefore w:val="0"/>
              <w:widowControl w:val="0"/>
              <w:kinsoku/>
              <w:overflowPunct/>
              <w:topLinePunct w:val="0"/>
              <w:autoSpaceDE/>
              <w:autoSpaceDN/>
              <w:bidi w:val="0"/>
              <w:adjustRightInd w:val="0"/>
              <w:snapToGrid w:val="0"/>
              <w:spacing w:line="360" w:lineRule="exact"/>
              <w:jc w:val="left"/>
              <w:textAlignment w:val="auto"/>
              <w:outlineLvl w:val="9"/>
              <w:rPr>
                <w:rFonts w:hint="eastAsia" w:ascii="宋体" w:hAnsi="宋体"/>
                <w:color w:val="auto"/>
                <w:szCs w:val="21"/>
                <w:highlight w:val="none"/>
              </w:rPr>
            </w:pPr>
            <w:r>
              <w:rPr>
                <w:rFonts w:hint="eastAsia" w:ascii="宋体" w:hAnsi="宋体"/>
                <w:color w:val="auto"/>
                <w:szCs w:val="21"/>
                <w:highlight w:val="none"/>
              </w:rPr>
              <w:t>（5）参加政府采购活动前三年内，在经营活动中没有重大违法记录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在</w:t>
            </w:r>
            <w:r>
              <w:rPr>
                <w:rFonts w:hint="eastAsia" w:ascii="宋体" w:hAnsi="宋体"/>
                <w:color w:val="auto"/>
                <w:szCs w:val="21"/>
                <w:highlight w:val="none"/>
              </w:rPr>
              <w:t>磋商响应声明</w:t>
            </w:r>
            <w:r>
              <w:rPr>
                <w:rFonts w:hint="eastAsia" w:ascii="宋体" w:hAnsi="宋体"/>
                <w:color w:val="auto"/>
                <w:szCs w:val="21"/>
                <w:highlight w:val="none"/>
                <w:lang w:val="en-US" w:eastAsia="zh-CN"/>
              </w:rPr>
              <w:t>中承诺</w:t>
            </w:r>
            <w:r>
              <w:rPr>
                <w:rFonts w:hint="eastAsia" w:ascii="宋体" w:hAnsi="宋体"/>
                <w:color w:val="auto"/>
                <w:szCs w:val="21"/>
                <w:highlight w:val="none"/>
                <w:lang w:eastAsia="zh-CN"/>
              </w:rPr>
              <w:t>）</w:t>
            </w:r>
            <w:r>
              <w:rPr>
                <w:rFonts w:hint="eastAsia" w:ascii="宋体" w:hAnsi="宋体"/>
                <w:color w:val="auto"/>
                <w:szCs w:val="21"/>
                <w:highlight w:val="none"/>
              </w:rPr>
              <w:t>；</w:t>
            </w:r>
          </w:p>
          <w:p>
            <w:pPr>
              <w:keepNext w:val="0"/>
              <w:keepLines w:val="0"/>
              <w:pageBreakBefore w:val="0"/>
              <w:widowControl w:val="0"/>
              <w:kinsoku/>
              <w:overflowPunct/>
              <w:topLinePunct w:val="0"/>
              <w:autoSpaceDE/>
              <w:autoSpaceDN/>
              <w:bidi w:val="0"/>
              <w:adjustRightInd w:val="0"/>
              <w:snapToGrid w:val="0"/>
              <w:spacing w:line="360" w:lineRule="exact"/>
              <w:jc w:val="left"/>
              <w:textAlignment w:val="auto"/>
              <w:outlineLvl w:val="9"/>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）法律、行政法规规定的其他条件。</w:t>
            </w:r>
          </w:p>
          <w:p>
            <w:pPr>
              <w:pStyle w:val="49"/>
              <w:ind w:left="0" w:leftChars="0" w:firstLine="0" w:firstLineChars="0"/>
              <w:rPr>
                <w:rFonts w:hint="eastAsia" w:eastAsia="宋体"/>
                <w:b/>
                <w:bCs/>
                <w:color w:val="auto"/>
                <w:highlight w:val="none"/>
                <w:lang w:eastAsia="zh-CN"/>
              </w:rPr>
            </w:pPr>
            <w:r>
              <w:rPr>
                <w:rFonts w:hint="eastAsia"/>
                <w:b/>
                <w:bCs/>
                <w:color w:val="auto"/>
                <w:highlight w:val="none"/>
                <w:lang w:val="en-US" w:eastAsia="zh-CN"/>
              </w:rPr>
              <w:t>（根据《湖南省财政厅关于政府采购促进中小企业发展有关措施的通知》基本资格条件中的（2）（3）（4）（5）证明文件以承诺方式递交）</w:t>
            </w:r>
            <w:r>
              <w:rPr>
                <w:rFonts w:hint="eastAsia" w:ascii="宋体" w:hAnsi="宋体"/>
                <w:b/>
                <w:bCs/>
                <w:color w:val="auto"/>
                <w:sz w:val="21"/>
                <w:szCs w:val="21"/>
                <w:highlight w:val="none"/>
                <w:lang w:eastAsia="zh-CN"/>
              </w:rPr>
              <w:t>。</w:t>
            </w:r>
          </w:p>
          <w:p>
            <w:pPr>
              <w:spacing w:line="360" w:lineRule="auto"/>
              <w:rPr>
                <w:rFonts w:hint="eastAsia"/>
                <w:color w:val="auto"/>
                <w:highlight w:val="none"/>
              </w:rPr>
            </w:pPr>
            <w:r>
              <w:rPr>
                <w:rFonts w:hint="eastAsia"/>
                <w:color w:val="auto"/>
                <w:highlight w:val="none"/>
              </w:rPr>
              <w:t xml:space="preserve">2、落实政府采购政策需满足的资格证明材料：按磋商文件第二章第9款要求。     </w:t>
            </w:r>
          </w:p>
          <w:p>
            <w:pPr>
              <w:adjustRightInd w:val="0"/>
              <w:snapToGrid w:val="0"/>
              <w:spacing w:line="440" w:lineRule="exact"/>
              <w:jc w:val="left"/>
              <w:rPr>
                <w:rFonts w:hint="eastAsia"/>
                <w:color w:val="auto"/>
                <w:highlight w:val="none"/>
              </w:rPr>
            </w:pPr>
            <w:r>
              <w:rPr>
                <w:rFonts w:hint="eastAsia"/>
                <w:color w:val="auto"/>
                <w:highlight w:val="none"/>
              </w:rPr>
              <w:t>3、本项目的特定资格要求：</w:t>
            </w:r>
          </w:p>
          <w:p>
            <w:p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olor w:val="auto"/>
                <w:szCs w:val="21"/>
                <w:highlight w:val="none"/>
                <w:lang w:val="en-US" w:eastAsia="zh-CN"/>
              </w:rPr>
              <w:t>供应商需出具中小企业声明函，并加盖公章。</w:t>
            </w:r>
          </w:p>
          <w:p>
            <w:p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（2）供应商必须具备会计师事务所执业证书。</w:t>
            </w:r>
          </w:p>
          <w:p>
            <w:pPr>
              <w:spacing w:line="360" w:lineRule="auto"/>
              <w:rPr>
                <w:rFonts w:hint="eastAsia"/>
                <w:color w:val="auto"/>
                <w:highlight w:val="none"/>
              </w:rPr>
            </w:pPr>
            <w:r>
              <w:rPr>
                <w:rFonts w:hint="eastAsia"/>
                <w:color w:val="auto"/>
                <w:highlight w:val="none"/>
              </w:rPr>
              <w:t>4、供应商在磋商响应声明中提供单位负责人为同一人或者存在直接控股、管理关系的不同</w:t>
            </w:r>
            <w:r>
              <w:rPr>
                <w:rFonts w:hint="eastAsia"/>
                <w:color w:val="auto"/>
                <w:highlight w:val="none"/>
                <w:lang w:eastAsia="zh-CN"/>
              </w:rPr>
              <w:t>供应商</w:t>
            </w:r>
            <w:r>
              <w:rPr>
                <w:rFonts w:hint="eastAsia"/>
                <w:color w:val="auto"/>
                <w:highlight w:val="none"/>
              </w:rPr>
              <w:t>，不得参加同一合同项下的政府采购活动的声明。</w:t>
            </w:r>
          </w:p>
          <w:p>
            <w:pPr>
              <w:spacing w:line="360" w:lineRule="auto"/>
              <w:rPr>
                <w:rFonts w:hint="eastAsia"/>
                <w:color w:val="auto"/>
                <w:highlight w:val="none"/>
              </w:rPr>
            </w:pPr>
            <w:r>
              <w:rPr>
                <w:rFonts w:hint="eastAsia"/>
                <w:color w:val="auto"/>
                <w:highlight w:val="none"/>
              </w:rPr>
              <w:t>5、供应商在磋商响应声明中提供为本采购项目提供整体设计、规范编制或者项目管理、监理、检测等服务的，不得再参加此项目的其他招标采购活动的声明。</w:t>
            </w:r>
          </w:p>
          <w:p>
            <w:pPr>
              <w:jc w:val="left"/>
              <w:rPr>
                <w:rFonts w:hint="eastAsia" w:ascii="宋体" w:hAnsi="宋体" w:eastAsia="宋体" w:cs="宋体"/>
                <w:color w:val="auto"/>
                <w:sz w:val="22"/>
                <w:szCs w:val="28"/>
                <w:highlight w:val="none"/>
                <w:lang w:eastAsia="zh-CN"/>
              </w:rPr>
            </w:pPr>
            <w:r>
              <w:rPr>
                <w:rFonts w:hint="eastAsia"/>
                <w:color w:val="auto"/>
                <w:highlight w:val="none"/>
              </w:rPr>
              <w:t>6、供应商在磋商响应声明中提供列入失信被执行人、重大税收违法案件当事人名单，列入政府采购严重违法失信行为记录名单的，拒绝其参与政府采购活动的声明。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4"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第二章第6.1款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联合体形式</w:t>
            </w:r>
          </w:p>
        </w:tc>
        <w:tc>
          <w:tcPr>
            <w:tcW w:w="5928"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 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第二章第6.2款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对联合体各方的要求</w:t>
            </w:r>
          </w:p>
        </w:tc>
        <w:tc>
          <w:tcPr>
            <w:tcW w:w="5928"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4"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第二章第7.1款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现场勘察</w:t>
            </w:r>
          </w:p>
        </w:tc>
        <w:tc>
          <w:tcPr>
            <w:tcW w:w="5928" w:type="dxa"/>
            <w:vAlign w:val="center"/>
          </w:tcPr>
          <w:p>
            <w:pPr>
              <w:jc w:val="left"/>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采购人在开标前不组织现场勘察。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9"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第二章第8.1款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采购进口产品</w:t>
            </w:r>
          </w:p>
        </w:tc>
        <w:tc>
          <w:tcPr>
            <w:tcW w:w="5928"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■本项目拒绝采购进口产品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27"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第二章第9.2款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政府采购优先采购</w:t>
            </w:r>
          </w:p>
          <w:p>
            <w:pPr>
              <w:jc w:val="left"/>
              <w:rPr>
                <w:rFonts w:hint="eastAsia" w:ascii="宋体" w:hAnsi="宋体" w:eastAsia="宋体" w:cs="宋体"/>
                <w:color w:val="auto"/>
                <w:sz w:val="22"/>
                <w:szCs w:val="28"/>
                <w:highlight w:val="none"/>
                <w:lang w:eastAsia="zh-CN"/>
              </w:rPr>
            </w:pPr>
          </w:p>
        </w:tc>
        <w:tc>
          <w:tcPr>
            <w:tcW w:w="5928"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本项目</w:t>
            </w:r>
            <w:r>
              <w:rPr>
                <w:rFonts w:hint="eastAsia" w:ascii="宋体" w:hAnsi="宋体" w:eastAsia="宋体" w:cs="宋体"/>
                <w:color w:val="auto"/>
                <w:sz w:val="22"/>
                <w:szCs w:val="28"/>
                <w:highlight w:val="none"/>
                <w:lang w:eastAsia="zh-CN"/>
              </w:rPr>
              <w:t>专门面向中小企业采购，</w:t>
            </w:r>
            <w:r>
              <w:rPr>
                <w:rFonts w:hint="eastAsia" w:ascii="宋体" w:hAnsi="宋体" w:eastAsia="宋体" w:cs="宋体"/>
                <w:color w:val="auto"/>
                <w:sz w:val="22"/>
                <w:szCs w:val="28"/>
                <w:highlight w:val="none"/>
                <w:lang w:val="en-US" w:eastAsia="zh-CN"/>
              </w:rPr>
              <w:t>不进行价格评审优惠</w:t>
            </w:r>
            <w:r>
              <w:rPr>
                <w:rFonts w:hint="eastAsia" w:ascii="宋体" w:hAnsi="宋体" w:eastAsia="宋体" w:cs="宋体"/>
                <w:color w:val="auto"/>
                <w:sz w:val="22"/>
                <w:szCs w:val="28"/>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56" w:hRule="atLeast"/>
          <w:jc w:val="center"/>
        </w:trPr>
        <w:tc>
          <w:tcPr>
            <w:tcW w:w="9319" w:type="dxa"/>
            <w:gridSpan w:val="3"/>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二、磋商文件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第二章第10.2款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磋商文件的可能实质性变动内容</w:t>
            </w:r>
          </w:p>
        </w:tc>
        <w:tc>
          <w:tcPr>
            <w:tcW w:w="5928"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359"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第二章第11.1款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提供磋商文件期限</w:t>
            </w:r>
          </w:p>
        </w:tc>
        <w:tc>
          <w:tcPr>
            <w:tcW w:w="5928"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详见第一章 磋商邀请公告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第二章第11.2款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递交磋商文件时应提供的资料</w:t>
            </w:r>
          </w:p>
        </w:tc>
        <w:tc>
          <w:tcPr>
            <w:tcW w:w="5928"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供应商是法定代表人的带法定代表人身份证明、本人身份证；供应商是委托代理人的带法定代表人授权委托书原件、本人身份证原件及</w:t>
            </w:r>
            <w:r>
              <w:rPr>
                <w:rFonts w:hint="eastAsia" w:ascii="宋体" w:hAnsi="宋体" w:eastAsia="宋体" w:cs="宋体"/>
                <w:color w:val="auto"/>
                <w:sz w:val="22"/>
                <w:szCs w:val="28"/>
                <w:highlight w:val="none"/>
                <w:lang w:val="en-US" w:eastAsia="zh-CN"/>
              </w:rPr>
              <w:t>法定代表人身份证明</w:t>
            </w:r>
            <w:r>
              <w:rPr>
                <w:rFonts w:hint="eastAsia" w:ascii="宋体" w:hAnsi="宋体" w:eastAsia="宋体" w:cs="宋体"/>
                <w:color w:val="auto"/>
                <w:sz w:val="22"/>
                <w:szCs w:val="28"/>
                <w:highlight w:val="none"/>
                <w:lang w:eastAsia="zh-CN"/>
              </w:rPr>
              <w:t>开标时</w:t>
            </w:r>
            <w:r>
              <w:rPr>
                <w:rFonts w:hint="eastAsia" w:ascii="宋体" w:hAnsi="宋体" w:eastAsia="宋体" w:cs="宋体"/>
                <w:color w:val="auto"/>
                <w:sz w:val="22"/>
                <w:szCs w:val="28"/>
                <w:highlight w:val="none"/>
                <w:lang w:val="en-US" w:eastAsia="zh-CN"/>
              </w:rPr>
              <w:t>递交</w:t>
            </w:r>
            <w:r>
              <w:rPr>
                <w:rFonts w:hint="eastAsia" w:ascii="宋体" w:hAnsi="宋体" w:eastAsia="宋体" w:cs="宋体"/>
                <w:color w:val="auto"/>
                <w:sz w:val="22"/>
                <w:szCs w:val="28"/>
                <w:highlight w:val="none"/>
                <w:lang w:eastAsia="zh-CN"/>
              </w:rPr>
              <w:t>。（未提交其投标将被拒绝）。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第二章第12.1款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提交首次响应文件的截止时间</w:t>
            </w:r>
          </w:p>
        </w:tc>
        <w:tc>
          <w:tcPr>
            <w:tcW w:w="5928"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详见第一章 磋商邀请公告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4" w:hRule="atLeast"/>
          <w:jc w:val="center"/>
        </w:trPr>
        <w:tc>
          <w:tcPr>
            <w:tcW w:w="9319" w:type="dxa"/>
            <w:gridSpan w:val="3"/>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三、响应文件的编写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9"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第二章第16.4款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采购项目预算</w:t>
            </w:r>
          </w:p>
        </w:tc>
        <w:tc>
          <w:tcPr>
            <w:tcW w:w="5928"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79168.00元</w:t>
            </w:r>
            <w:r>
              <w:rPr>
                <w:rFonts w:hint="eastAsia" w:ascii="宋体" w:hAnsi="宋体" w:eastAsia="宋体" w:cs="宋体"/>
                <w:color w:val="auto"/>
                <w:sz w:val="22"/>
                <w:szCs w:val="28"/>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第二章第19.1款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磋商保证金</w:t>
            </w:r>
          </w:p>
        </w:tc>
        <w:tc>
          <w:tcPr>
            <w:tcW w:w="5928"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不要求提供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9"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第二章第20.1款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响应文件有效期</w:t>
            </w:r>
          </w:p>
        </w:tc>
        <w:tc>
          <w:tcPr>
            <w:tcW w:w="5928"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90日（日历日）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9"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第二章第21.1款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响应文件副本份数</w:t>
            </w:r>
          </w:p>
        </w:tc>
        <w:tc>
          <w:tcPr>
            <w:tcW w:w="5928" w:type="dxa"/>
            <w:vAlign w:val="center"/>
          </w:tcPr>
          <w:p>
            <w:pPr>
              <w:jc w:val="left"/>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eastAsia="zh-CN"/>
              </w:rPr>
              <w:t>一正</w:t>
            </w:r>
            <w:r>
              <w:rPr>
                <w:rFonts w:hint="eastAsia" w:ascii="宋体" w:hAnsi="宋体" w:eastAsia="宋体" w:cs="宋体"/>
                <w:color w:val="auto"/>
                <w:sz w:val="22"/>
                <w:szCs w:val="28"/>
                <w:highlight w:val="none"/>
                <w:lang w:val="en-US" w:eastAsia="zh-CN"/>
              </w:rPr>
              <w:t>二</w:t>
            </w:r>
            <w:r>
              <w:rPr>
                <w:rFonts w:hint="eastAsia" w:ascii="宋体" w:hAnsi="宋体" w:eastAsia="宋体" w:cs="宋体"/>
                <w:color w:val="auto"/>
                <w:sz w:val="22"/>
                <w:szCs w:val="28"/>
                <w:highlight w:val="none"/>
                <w:lang w:eastAsia="zh-CN"/>
              </w:rPr>
              <w:t>副共</w:t>
            </w:r>
            <w:r>
              <w:rPr>
                <w:rFonts w:hint="eastAsia" w:ascii="宋体" w:hAnsi="宋体" w:eastAsia="宋体" w:cs="宋体"/>
                <w:color w:val="auto"/>
                <w:sz w:val="22"/>
                <w:szCs w:val="28"/>
                <w:highlight w:val="none"/>
                <w:lang w:val="en-US" w:eastAsia="zh-CN"/>
              </w:rPr>
              <w:t>三</w:t>
            </w:r>
            <w:r>
              <w:rPr>
                <w:rFonts w:hint="eastAsia" w:ascii="宋体" w:hAnsi="宋体" w:eastAsia="宋体" w:cs="宋体"/>
                <w:color w:val="auto"/>
                <w:sz w:val="22"/>
                <w:szCs w:val="28"/>
                <w:highlight w:val="none"/>
                <w:lang w:eastAsia="zh-CN"/>
              </w:rPr>
              <w:t>份，电子档（U盘）1份，</w:t>
            </w:r>
            <w:r>
              <w:rPr>
                <w:rFonts w:hint="eastAsia" w:ascii="宋体" w:hAnsi="宋体" w:eastAsia="宋体" w:cs="宋体"/>
                <w:color w:val="auto"/>
                <w:sz w:val="22"/>
                <w:szCs w:val="28"/>
                <w:highlight w:val="none"/>
                <w:lang w:val="en-US" w:eastAsia="zh-CN"/>
              </w:rPr>
              <w:t>电子版为PDF格式，需和纸质版正本内容一致。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3" w:hRule="atLeast"/>
          <w:jc w:val="center"/>
        </w:trPr>
        <w:tc>
          <w:tcPr>
            <w:tcW w:w="9319" w:type="dxa"/>
            <w:gridSpan w:val="3"/>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四、响应文件的递交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60"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第二章第22.2款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封套上应载明的信息</w:t>
            </w:r>
          </w:p>
        </w:tc>
        <w:tc>
          <w:tcPr>
            <w:tcW w:w="5928" w:type="dxa"/>
            <w:vAlign w:val="center"/>
          </w:tcPr>
          <w:p>
            <w:pPr>
              <w:pStyle w:val="3"/>
              <w:rPr>
                <w:rFonts w:hint="eastAsia" w:ascii="宋体" w:hAnsi="宋体" w:eastAsia="宋体" w:cs="宋体"/>
                <w:bCs w:val="0"/>
                <w:color w:val="auto"/>
                <w:kern w:val="2"/>
                <w:sz w:val="22"/>
                <w:szCs w:val="28"/>
                <w:highlight w:val="none"/>
                <w:lang w:val="en-US" w:eastAsia="zh-CN" w:bidi="ar-SA"/>
              </w:rPr>
            </w:pPr>
            <w:r>
              <w:rPr>
                <w:rFonts w:hint="eastAsia" w:ascii="宋体" w:hAnsi="宋体" w:eastAsia="宋体" w:cs="宋体"/>
                <w:bCs w:val="0"/>
                <w:color w:val="auto"/>
                <w:kern w:val="2"/>
                <w:sz w:val="22"/>
                <w:szCs w:val="28"/>
                <w:highlight w:val="none"/>
                <w:lang w:val="en-US" w:eastAsia="zh-CN" w:bidi="ar-SA"/>
              </w:rPr>
              <w:t xml:space="preserve"> </w:t>
            </w:r>
            <w:r>
              <w:rPr>
                <w:rFonts w:hint="eastAsia" w:ascii="宋体" w:hAnsi="宋体" w:eastAsia="宋体" w:cs="宋体"/>
                <w:bCs w:val="0"/>
                <w:color w:val="auto"/>
                <w:kern w:val="2"/>
                <w:sz w:val="22"/>
                <w:szCs w:val="28"/>
                <w:highlight w:val="none"/>
                <w:u w:val="single"/>
                <w:lang w:val="en-US" w:eastAsia="zh-CN" w:bidi="ar-SA"/>
              </w:rPr>
              <w:t xml:space="preserve">                         </w:t>
            </w:r>
            <w:r>
              <w:rPr>
                <w:rFonts w:hint="eastAsia" w:ascii="宋体" w:hAnsi="宋体" w:eastAsia="宋体" w:cs="宋体"/>
                <w:bCs w:val="0"/>
                <w:color w:val="auto"/>
                <w:kern w:val="2"/>
                <w:sz w:val="22"/>
                <w:szCs w:val="28"/>
                <w:highlight w:val="none"/>
                <w:lang w:val="en-US" w:eastAsia="zh-CN" w:bidi="ar-SA"/>
              </w:rPr>
              <w:t>项目响应文件</w:t>
            </w:r>
          </w:p>
          <w:p>
            <w:pPr>
              <w:pStyle w:val="3"/>
              <w:rPr>
                <w:rFonts w:hint="eastAsia" w:ascii="宋体" w:hAnsi="宋体" w:eastAsia="宋体" w:cs="宋体"/>
                <w:bCs w:val="0"/>
                <w:color w:val="auto"/>
                <w:kern w:val="2"/>
                <w:sz w:val="22"/>
                <w:szCs w:val="28"/>
                <w:highlight w:val="none"/>
                <w:lang w:val="en-US" w:eastAsia="zh-CN" w:bidi="ar-SA"/>
              </w:rPr>
            </w:pPr>
            <w:r>
              <w:rPr>
                <w:rFonts w:hint="eastAsia" w:ascii="宋体" w:hAnsi="宋体" w:eastAsia="宋体" w:cs="宋体"/>
                <w:bCs w:val="0"/>
                <w:color w:val="auto"/>
                <w:kern w:val="2"/>
                <w:sz w:val="22"/>
                <w:szCs w:val="28"/>
                <w:highlight w:val="none"/>
                <w:lang w:val="en-US" w:eastAsia="zh-CN" w:bidi="ar-SA"/>
              </w:rPr>
              <w:t>包号：</w:t>
            </w:r>
            <w:r>
              <w:rPr>
                <w:rFonts w:hint="eastAsia" w:ascii="宋体" w:hAnsi="宋体" w:eastAsia="宋体" w:cs="宋体"/>
                <w:bCs w:val="0"/>
                <w:color w:val="auto"/>
                <w:kern w:val="2"/>
                <w:sz w:val="22"/>
                <w:szCs w:val="28"/>
                <w:highlight w:val="none"/>
                <w:u w:val="single"/>
                <w:lang w:val="en-US" w:eastAsia="zh-CN" w:bidi="ar-SA"/>
              </w:rPr>
              <w:t xml:space="preserve">       </w:t>
            </w:r>
            <w:r>
              <w:rPr>
                <w:rFonts w:hint="eastAsia" w:ascii="宋体" w:hAnsi="宋体" w:eastAsia="宋体" w:cs="宋体"/>
                <w:bCs w:val="0"/>
                <w:color w:val="auto"/>
                <w:kern w:val="2"/>
                <w:sz w:val="22"/>
                <w:szCs w:val="28"/>
                <w:highlight w:val="none"/>
                <w:lang w:val="en-US" w:eastAsia="zh-CN" w:bidi="ar-SA"/>
              </w:rPr>
              <w:t xml:space="preserve"> 包名称：</w:t>
            </w:r>
            <w:r>
              <w:rPr>
                <w:rFonts w:hint="eastAsia" w:ascii="宋体" w:hAnsi="宋体" w:eastAsia="宋体" w:cs="宋体"/>
                <w:bCs w:val="0"/>
                <w:color w:val="auto"/>
                <w:kern w:val="2"/>
                <w:sz w:val="22"/>
                <w:szCs w:val="28"/>
                <w:highlight w:val="none"/>
                <w:u w:val="single"/>
                <w:lang w:val="en-US" w:eastAsia="zh-CN" w:bidi="ar-SA"/>
              </w:rPr>
              <w:t xml:space="preserve">              </w:t>
            </w:r>
            <w:r>
              <w:rPr>
                <w:rFonts w:hint="eastAsia" w:ascii="宋体" w:hAnsi="宋体" w:eastAsia="宋体" w:cs="宋体"/>
                <w:bCs w:val="0"/>
                <w:color w:val="auto"/>
                <w:kern w:val="2"/>
                <w:sz w:val="22"/>
                <w:szCs w:val="28"/>
                <w:highlight w:val="none"/>
                <w:lang w:val="en-US" w:eastAsia="zh-CN" w:bidi="ar-SA"/>
              </w:rPr>
              <w:t xml:space="preserve">   </w:t>
            </w:r>
          </w:p>
          <w:p>
            <w:pPr>
              <w:pStyle w:val="3"/>
              <w:rPr>
                <w:rFonts w:hint="eastAsia" w:ascii="宋体" w:hAnsi="宋体" w:eastAsia="宋体" w:cs="宋体"/>
                <w:bCs w:val="0"/>
                <w:color w:val="auto"/>
                <w:kern w:val="2"/>
                <w:sz w:val="22"/>
                <w:szCs w:val="28"/>
                <w:highlight w:val="none"/>
                <w:lang w:val="en-US" w:eastAsia="zh-CN" w:bidi="ar-SA"/>
              </w:rPr>
            </w:pPr>
            <w:r>
              <w:rPr>
                <w:rFonts w:hint="eastAsia" w:ascii="宋体" w:hAnsi="宋体" w:eastAsia="宋体" w:cs="宋体"/>
                <w:bCs w:val="0"/>
                <w:color w:val="auto"/>
                <w:kern w:val="2"/>
                <w:sz w:val="22"/>
                <w:szCs w:val="28"/>
                <w:highlight w:val="none"/>
                <w:lang w:val="en-US" w:eastAsia="zh-CN" w:bidi="ar-SA"/>
              </w:rPr>
              <w:t>代理委托编号：</w:t>
            </w:r>
            <w:r>
              <w:rPr>
                <w:rFonts w:hint="eastAsia" w:ascii="宋体" w:hAnsi="宋体" w:eastAsia="宋体" w:cs="宋体"/>
                <w:bCs w:val="0"/>
                <w:color w:val="auto"/>
                <w:kern w:val="2"/>
                <w:sz w:val="22"/>
                <w:szCs w:val="28"/>
                <w:highlight w:val="none"/>
                <w:u w:val="single"/>
                <w:lang w:val="en-US" w:eastAsia="zh-CN" w:bidi="ar-SA"/>
              </w:rPr>
              <w:t xml:space="preserve">                      </w:t>
            </w:r>
            <w:r>
              <w:rPr>
                <w:rFonts w:hint="eastAsia" w:ascii="宋体" w:hAnsi="宋体" w:eastAsia="宋体" w:cs="宋体"/>
                <w:bCs w:val="0"/>
                <w:color w:val="auto"/>
                <w:kern w:val="2"/>
                <w:sz w:val="22"/>
                <w:szCs w:val="28"/>
                <w:highlight w:val="none"/>
                <w:lang w:val="en-US" w:eastAsia="zh-CN" w:bidi="ar-SA"/>
              </w:rPr>
              <w:t xml:space="preserve">    </w:t>
            </w:r>
          </w:p>
          <w:p>
            <w:pPr>
              <w:pStyle w:val="3"/>
              <w:rPr>
                <w:rFonts w:hint="eastAsia" w:ascii="宋体" w:hAnsi="宋体" w:eastAsia="宋体" w:cs="宋体"/>
                <w:bCs w:val="0"/>
                <w:color w:val="auto"/>
                <w:kern w:val="2"/>
                <w:sz w:val="22"/>
                <w:szCs w:val="28"/>
                <w:highlight w:val="none"/>
                <w:lang w:val="en-US" w:eastAsia="zh-CN" w:bidi="ar-SA"/>
              </w:rPr>
            </w:pPr>
            <w:r>
              <w:rPr>
                <w:rFonts w:hint="eastAsia" w:ascii="宋体" w:hAnsi="宋体" w:eastAsia="宋体" w:cs="宋体"/>
                <w:bCs w:val="0"/>
                <w:color w:val="auto"/>
                <w:kern w:val="2"/>
                <w:sz w:val="22"/>
                <w:szCs w:val="28"/>
                <w:highlight w:val="none"/>
                <w:lang w:val="en-US" w:eastAsia="zh-CN" w:bidi="ar-SA"/>
              </w:rPr>
              <w:t>响应人：</w:t>
            </w:r>
            <w:r>
              <w:rPr>
                <w:rFonts w:hint="eastAsia" w:ascii="宋体" w:hAnsi="宋体" w:eastAsia="宋体" w:cs="宋体"/>
                <w:bCs w:val="0"/>
                <w:color w:val="auto"/>
                <w:kern w:val="2"/>
                <w:sz w:val="22"/>
                <w:szCs w:val="28"/>
                <w:highlight w:val="none"/>
                <w:u w:val="single"/>
                <w:lang w:val="en-US" w:eastAsia="zh-CN" w:bidi="ar-SA"/>
              </w:rPr>
              <w:t xml:space="preserve">                        </w:t>
            </w:r>
            <w:r>
              <w:rPr>
                <w:rFonts w:hint="eastAsia" w:ascii="宋体" w:hAnsi="宋体" w:eastAsia="宋体" w:cs="宋体"/>
                <w:bCs w:val="0"/>
                <w:color w:val="auto"/>
                <w:kern w:val="2"/>
                <w:sz w:val="22"/>
                <w:szCs w:val="28"/>
                <w:highlight w:val="none"/>
                <w:lang w:val="en-US" w:eastAsia="zh-CN" w:bidi="ar-SA"/>
              </w:rPr>
              <w:t>(名称并盖章)</w:t>
            </w:r>
          </w:p>
          <w:p>
            <w:pPr>
              <w:pStyle w:val="3"/>
              <w:rPr>
                <w:rFonts w:hint="eastAsia" w:ascii="宋体" w:hAnsi="宋体" w:eastAsia="宋体" w:cs="宋体"/>
                <w:bCs w:val="0"/>
                <w:color w:val="auto"/>
                <w:kern w:val="2"/>
                <w:sz w:val="22"/>
                <w:szCs w:val="28"/>
                <w:highlight w:val="none"/>
                <w:lang w:val="en-US" w:eastAsia="zh-CN" w:bidi="ar-SA"/>
              </w:rPr>
            </w:pPr>
            <w:r>
              <w:rPr>
                <w:rFonts w:hint="eastAsia" w:ascii="宋体" w:hAnsi="宋体" w:eastAsia="宋体" w:cs="宋体"/>
                <w:bCs w:val="0"/>
                <w:color w:val="auto"/>
                <w:kern w:val="2"/>
                <w:sz w:val="22"/>
                <w:szCs w:val="28"/>
                <w:highlight w:val="none"/>
                <w:lang w:val="en-US" w:eastAsia="zh-CN" w:bidi="ar-SA"/>
              </w:rPr>
              <w:t>响应人法定代表人或授权委托人签字：</w:t>
            </w:r>
            <w:r>
              <w:rPr>
                <w:rFonts w:hint="eastAsia" w:ascii="宋体" w:hAnsi="宋体" w:eastAsia="宋体" w:cs="宋体"/>
                <w:bCs w:val="0"/>
                <w:color w:val="auto"/>
                <w:kern w:val="2"/>
                <w:sz w:val="22"/>
                <w:szCs w:val="28"/>
                <w:highlight w:val="none"/>
                <w:u w:val="single"/>
                <w:lang w:val="en-US" w:eastAsia="zh-CN" w:bidi="ar-SA"/>
              </w:rPr>
              <w:t xml:space="preserve">        </w:t>
            </w:r>
            <w:r>
              <w:rPr>
                <w:rFonts w:hint="eastAsia" w:ascii="宋体" w:hAnsi="宋体" w:eastAsia="宋体" w:cs="宋体"/>
                <w:bCs w:val="0"/>
                <w:color w:val="auto"/>
                <w:kern w:val="2"/>
                <w:sz w:val="22"/>
                <w:szCs w:val="28"/>
                <w:highlight w:val="none"/>
                <w:lang w:val="en-US" w:eastAsia="zh-CN" w:bidi="ar-SA"/>
              </w:rPr>
              <w:t xml:space="preserve">      </w:t>
            </w:r>
          </w:p>
          <w:p>
            <w:pPr>
              <w:jc w:val="left"/>
              <w:rPr>
                <w:rFonts w:hint="eastAsia" w:ascii="宋体" w:hAnsi="宋体" w:eastAsia="宋体" w:cs="宋体"/>
                <w:bCs w:val="0"/>
                <w:color w:val="auto"/>
                <w:kern w:val="2"/>
                <w:sz w:val="22"/>
                <w:szCs w:val="28"/>
                <w:highlight w:val="none"/>
                <w:lang w:val="en-US" w:eastAsia="zh-CN" w:bidi="ar-SA"/>
              </w:rPr>
            </w:pPr>
            <w:r>
              <w:rPr>
                <w:rFonts w:hint="eastAsia" w:ascii="宋体" w:hAnsi="宋体" w:eastAsia="宋体" w:cs="宋体"/>
                <w:bCs w:val="0"/>
                <w:color w:val="auto"/>
                <w:kern w:val="2"/>
                <w:sz w:val="22"/>
                <w:szCs w:val="28"/>
                <w:highlight w:val="none"/>
                <w:lang w:val="en-US" w:eastAsia="zh-CN" w:bidi="ar-SA"/>
              </w:rPr>
              <w:t>在202</w:t>
            </w:r>
            <w:r>
              <w:rPr>
                <w:rFonts w:hint="eastAsia" w:ascii="宋体" w:hAnsi="宋体" w:cs="宋体"/>
                <w:bCs w:val="0"/>
                <w:color w:val="auto"/>
                <w:kern w:val="2"/>
                <w:sz w:val="22"/>
                <w:szCs w:val="28"/>
                <w:highlight w:val="none"/>
                <w:lang w:val="en-US" w:eastAsia="zh-CN" w:bidi="ar-SA"/>
              </w:rPr>
              <w:t>3</w:t>
            </w:r>
            <w:r>
              <w:rPr>
                <w:rFonts w:hint="eastAsia" w:ascii="宋体" w:hAnsi="宋体" w:eastAsia="宋体" w:cs="宋体"/>
                <w:bCs w:val="0"/>
                <w:color w:val="auto"/>
                <w:kern w:val="2"/>
                <w:sz w:val="22"/>
                <w:szCs w:val="28"/>
                <w:highlight w:val="none"/>
                <w:lang w:val="en-US" w:eastAsia="zh-CN" w:bidi="ar-SA"/>
              </w:rPr>
              <w:t>年</w:t>
            </w:r>
            <w:r>
              <w:rPr>
                <w:rFonts w:hint="eastAsia" w:ascii="宋体" w:hAnsi="宋体" w:cs="宋体"/>
                <w:bCs w:val="0"/>
                <w:color w:val="auto"/>
                <w:kern w:val="2"/>
                <w:sz w:val="22"/>
                <w:szCs w:val="28"/>
                <w:highlight w:val="none"/>
                <w:lang w:val="en-US" w:eastAsia="zh-CN" w:bidi="ar-SA"/>
              </w:rPr>
              <w:t xml:space="preserve">  </w:t>
            </w:r>
            <w:r>
              <w:rPr>
                <w:rFonts w:hint="eastAsia" w:ascii="宋体" w:hAnsi="宋体" w:eastAsia="宋体" w:cs="宋体"/>
                <w:bCs w:val="0"/>
                <w:color w:val="auto"/>
                <w:kern w:val="2"/>
                <w:sz w:val="22"/>
                <w:szCs w:val="28"/>
                <w:highlight w:val="none"/>
                <w:lang w:val="en-US" w:eastAsia="zh-CN" w:bidi="ar-SA"/>
              </w:rPr>
              <w:t>月</w:t>
            </w:r>
            <w:r>
              <w:rPr>
                <w:rFonts w:hint="eastAsia" w:ascii="宋体" w:hAnsi="宋体" w:cs="宋体"/>
                <w:bCs w:val="0"/>
                <w:color w:val="auto"/>
                <w:kern w:val="2"/>
                <w:sz w:val="22"/>
                <w:szCs w:val="28"/>
                <w:highlight w:val="none"/>
                <w:lang w:val="en-US" w:eastAsia="zh-CN" w:bidi="ar-SA"/>
              </w:rPr>
              <w:t xml:space="preserve">  </w:t>
            </w:r>
            <w:r>
              <w:rPr>
                <w:rFonts w:hint="eastAsia" w:ascii="宋体" w:hAnsi="宋体" w:eastAsia="宋体" w:cs="宋体"/>
                <w:bCs w:val="0"/>
                <w:color w:val="auto"/>
                <w:kern w:val="2"/>
                <w:sz w:val="22"/>
                <w:szCs w:val="28"/>
                <w:highlight w:val="none"/>
                <w:lang w:val="en-US" w:eastAsia="zh-CN" w:bidi="ar-SA"/>
              </w:rPr>
              <w:t>日</w:t>
            </w:r>
            <w:r>
              <w:rPr>
                <w:rFonts w:hint="eastAsia" w:ascii="宋体" w:hAnsi="宋体" w:cs="宋体"/>
                <w:bCs w:val="0"/>
                <w:color w:val="auto"/>
                <w:kern w:val="2"/>
                <w:sz w:val="22"/>
                <w:szCs w:val="28"/>
                <w:highlight w:val="none"/>
                <w:lang w:val="en-US" w:eastAsia="zh-CN" w:bidi="ar-SA"/>
              </w:rPr>
              <w:t xml:space="preserve">  </w:t>
            </w:r>
            <w:r>
              <w:rPr>
                <w:rFonts w:hint="eastAsia" w:ascii="宋体" w:hAnsi="宋体" w:eastAsia="宋体" w:cs="宋体"/>
                <w:bCs w:val="0"/>
                <w:color w:val="auto"/>
                <w:kern w:val="2"/>
                <w:sz w:val="22"/>
                <w:szCs w:val="28"/>
                <w:highlight w:val="none"/>
                <w:lang w:val="en-US" w:eastAsia="zh-CN" w:bidi="ar-SA"/>
              </w:rPr>
              <w:t>时</w:t>
            </w:r>
            <w:r>
              <w:rPr>
                <w:rFonts w:hint="eastAsia" w:ascii="宋体" w:hAnsi="宋体" w:cs="宋体"/>
                <w:bCs w:val="0"/>
                <w:color w:val="auto"/>
                <w:kern w:val="2"/>
                <w:sz w:val="22"/>
                <w:szCs w:val="28"/>
                <w:highlight w:val="none"/>
                <w:lang w:val="en-US" w:eastAsia="zh-CN" w:bidi="ar-SA"/>
              </w:rPr>
              <w:t xml:space="preserve">  </w:t>
            </w:r>
            <w:r>
              <w:rPr>
                <w:rFonts w:hint="eastAsia" w:ascii="宋体" w:hAnsi="宋体" w:eastAsia="宋体" w:cs="宋体"/>
                <w:bCs w:val="0"/>
                <w:color w:val="auto"/>
                <w:kern w:val="2"/>
                <w:sz w:val="22"/>
                <w:szCs w:val="28"/>
                <w:highlight w:val="none"/>
                <w:lang w:val="en-US" w:eastAsia="zh-CN" w:bidi="ar-SA"/>
              </w:rPr>
              <w:t>分之前不得启封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9"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第二章第24.1款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响应文件的递交地点</w:t>
            </w:r>
          </w:p>
        </w:tc>
        <w:tc>
          <w:tcPr>
            <w:tcW w:w="5928" w:type="dxa"/>
            <w:vAlign w:val="center"/>
          </w:tcPr>
          <w:p>
            <w:pPr>
              <w:jc w:val="left"/>
              <w:rPr>
                <w:rFonts w:hint="eastAsia" w:ascii="宋体" w:hAnsi="宋体" w:eastAsia="宋体" w:cs="宋体"/>
                <w:bCs w:val="0"/>
                <w:color w:val="auto"/>
                <w:kern w:val="2"/>
                <w:sz w:val="22"/>
                <w:szCs w:val="28"/>
                <w:highlight w:val="none"/>
                <w:lang w:val="en-US" w:eastAsia="zh-CN" w:bidi="ar-SA"/>
              </w:rPr>
            </w:pPr>
            <w:r>
              <w:rPr>
                <w:rFonts w:hint="eastAsia" w:ascii="宋体" w:hAnsi="宋体" w:eastAsia="宋体" w:cs="宋体"/>
                <w:bCs w:val="0"/>
                <w:color w:val="auto"/>
                <w:kern w:val="2"/>
                <w:sz w:val="22"/>
                <w:szCs w:val="28"/>
                <w:highlight w:val="none"/>
                <w:lang w:val="en-US" w:eastAsia="zh-CN" w:bidi="ar-SA"/>
              </w:rPr>
              <w:t>详见第一章 磋商邀请公告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4" w:hRule="atLeast"/>
          <w:jc w:val="center"/>
        </w:trPr>
        <w:tc>
          <w:tcPr>
            <w:tcW w:w="9319" w:type="dxa"/>
            <w:gridSpan w:val="3"/>
            <w:vAlign w:val="center"/>
          </w:tcPr>
          <w:p>
            <w:pPr>
              <w:jc w:val="left"/>
              <w:rPr>
                <w:rFonts w:hint="eastAsia" w:ascii="宋体" w:hAnsi="宋体" w:eastAsia="宋体" w:cs="宋体"/>
                <w:bCs w:val="0"/>
                <w:color w:val="auto"/>
                <w:kern w:val="2"/>
                <w:sz w:val="22"/>
                <w:szCs w:val="28"/>
                <w:highlight w:val="none"/>
                <w:lang w:val="en-US" w:eastAsia="zh-CN" w:bidi="ar-SA"/>
              </w:rPr>
            </w:pPr>
            <w:r>
              <w:rPr>
                <w:rFonts w:hint="eastAsia" w:ascii="宋体" w:hAnsi="宋体" w:eastAsia="宋体" w:cs="宋体"/>
                <w:bCs w:val="0"/>
                <w:color w:val="auto"/>
                <w:kern w:val="2"/>
                <w:sz w:val="22"/>
                <w:szCs w:val="28"/>
                <w:highlight w:val="none"/>
                <w:lang w:val="en-US" w:eastAsia="zh-CN" w:bidi="ar-SA"/>
              </w:rPr>
              <w:t>五、响应文件的磋商与评审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9"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第二章第31.2款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评审因素和标准</w:t>
            </w:r>
          </w:p>
        </w:tc>
        <w:tc>
          <w:tcPr>
            <w:tcW w:w="5928" w:type="dxa"/>
            <w:vAlign w:val="center"/>
          </w:tcPr>
          <w:p>
            <w:pPr>
              <w:jc w:val="left"/>
              <w:rPr>
                <w:rFonts w:hint="eastAsia" w:ascii="宋体" w:hAnsi="宋体" w:eastAsia="宋体" w:cs="宋体"/>
                <w:bCs w:val="0"/>
                <w:color w:val="auto"/>
                <w:kern w:val="2"/>
                <w:sz w:val="22"/>
                <w:szCs w:val="28"/>
                <w:highlight w:val="none"/>
                <w:lang w:val="en-US" w:eastAsia="zh-CN" w:bidi="ar-SA"/>
              </w:rPr>
            </w:pPr>
            <w:r>
              <w:rPr>
                <w:rFonts w:hint="eastAsia" w:ascii="宋体" w:hAnsi="宋体" w:eastAsia="宋体" w:cs="宋体"/>
                <w:bCs w:val="0"/>
                <w:color w:val="auto"/>
                <w:kern w:val="2"/>
                <w:sz w:val="22"/>
                <w:szCs w:val="28"/>
                <w:highlight w:val="none"/>
                <w:lang w:val="en-US" w:eastAsia="zh-CN" w:bidi="ar-SA"/>
              </w:rPr>
              <w:t>见附页1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4" w:hRule="atLeast"/>
          <w:jc w:val="center"/>
        </w:trPr>
        <w:tc>
          <w:tcPr>
            <w:tcW w:w="9319" w:type="dxa"/>
            <w:gridSpan w:val="3"/>
            <w:vAlign w:val="center"/>
          </w:tcPr>
          <w:p>
            <w:pPr>
              <w:jc w:val="left"/>
              <w:rPr>
                <w:rFonts w:hint="eastAsia" w:ascii="宋体" w:hAnsi="宋体" w:eastAsia="宋体" w:cs="宋体"/>
                <w:bCs w:val="0"/>
                <w:color w:val="auto"/>
                <w:kern w:val="2"/>
                <w:sz w:val="22"/>
                <w:szCs w:val="28"/>
                <w:highlight w:val="none"/>
                <w:lang w:val="en-US" w:eastAsia="zh-CN" w:bidi="ar-SA"/>
              </w:rPr>
            </w:pPr>
            <w:r>
              <w:rPr>
                <w:rFonts w:hint="eastAsia" w:ascii="宋体" w:hAnsi="宋体" w:eastAsia="宋体" w:cs="宋体"/>
                <w:bCs w:val="0"/>
                <w:color w:val="auto"/>
                <w:kern w:val="2"/>
                <w:sz w:val="22"/>
                <w:szCs w:val="28"/>
                <w:highlight w:val="none"/>
                <w:lang w:val="en-US" w:eastAsia="zh-CN" w:bidi="ar-SA"/>
              </w:rPr>
              <w:t>六、成交结果信息公布与授予合同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9"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第二章第37.1款、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指定的媒体</w:t>
            </w:r>
          </w:p>
        </w:tc>
        <w:tc>
          <w:tcPr>
            <w:tcW w:w="5928" w:type="dxa"/>
            <w:vAlign w:val="center"/>
          </w:tcPr>
          <w:p>
            <w:pPr>
              <w:jc w:val="left"/>
              <w:rPr>
                <w:rFonts w:hint="eastAsia" w:ascii="宋体" w:hAnsi="宋体" w:eastAsia="宋体" w:cs="宋体"/>
                <w:bCs w:val="0"/>
                <w:color w:val="auto"/>
                <w:kern w:val="2"/>
                <w:sz w:val="22"/>
                <w:szCs w:val="28"/>
                <w:highlight w:val="none"/>
                <w:lang w:val="en-US" w:eastAsia="zh-CN" w:bidi="ar-SA"/>
              </w:rPr>
            </w:pPr>
            <w:r>
              <w:rPr>
                <w:rFonts w:hint="eastAsia" w:ascii="宋体" w:hAnsi="宋体" w:cs="宋体"/>
                <w:bCs w:val="0"/>
                <w:color w:val="auto"/>
                <w:kern w:val="2"/>
                <w:sz w:val="22"/>
                <w:szCs w:val="28"/>
                <w:highlight w:val="none"/>
                <w:lang w:val="en-US" w:eastAsia="zh-CN" w:bidi="ar-SA"/>
              </w:rPr>
              <w:t>娄底市万宝新区开发投资集团有限公司官网（http://www.wbtzjt.com/）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9"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第二章第39.3款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履约担保</w:t>
            </w:r>
          </w:p>
        </w:tc>
        <w:tc>
          <w:tcPr>
            <w:tcW w:w="5928" w:type="dxa"/>
            <w:vAlign w:val="center"/>
          </w:tcPr>
          <w:p>
            <w:pPr>
              <w:jc w:val="left"/>
              <w:rPr>
                <w:rFonts w:hint="eastAsia" w:ascii="宋体" w:hAnsi="宋体" w:eastAsia="宋体" w:cs="宋体"/>
                <w:bCs w:val="0"/>
                <w:color w:val="auto"/>
                <w:kern w:val="2"/>
                <w:sz w:val="22"/>
                <w:szCs w:val="28"/>
                <w:highlight w:val="none"/>
                <w:lang w:val="en-US" w:eastAsia="zh-CN" w:bidi="ar-SA"/>
              </w:rPr>
            </w:pPr>
            <w:r>
              <w:rPr>
                <w:rFonts w:hint="eastAsia" w:ascii="宋体" w:hAnsi="宋体" w:eastAsia="宋体" w:cs="宋体"/>
                <w:bCs w:val="0"/>
                <w:color w:val="auto"/>
                <w:kern w:val="2"/>
                <w:sz w:val="22"/>
                <w:szCs w:val="28"/>
                <w:highlight w:val="none"/>
                <w:lang w:val="en-US" w:eastAsia="zh-CN" w:bidi="ar-SA"/>
              </w:rPr>
              <w:t>■ 不要求提供</w:t>
            </w:r>
          </w:p>
          <w:p>
            <w:pPr>
              <w:jc w:val="left"/>
              <w:rPr>
                <w:rFonts w:hint="eastAsia" w:ascii="宋体" w:hAnsi="宋体" w:eastAsia="宋体" w:cs="宋体"/>
                <w:bCs w:val="0"/>
                <w:color w:val="auto"/>
                <w:kern w:val="2"/>
                <w:sz w:val="22"/>
                <w:szCs w:val="28"/>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4" w:hRule="atLeast"/>
          <w:jc w:val="center"/>
        </w:trPr>
        <w:tc>
          <w:tcPr>
            <w:tcW w:w="9319" w:type="dxa"/>
            <w:gridSpan w:val="3"/>
            <w:vAlign w:val="center"/>
          </w:tcPr>
          <w:p>
            <w:pPr>
              <w:jc w:val="left"/>
              <w:rPr>
                <w:rFonts w:hint="eastAsia" w:ascii="宋体" w:hAnsi="宋体" w:eastAsia="宋体" w:cs="宋体"/>
                <w:bCs w:val="0"/>
                <w:color w:val="auto"/>
                <w:kern w:val="2"/>
                <w:sz w:val="22"/>
                <w:szCs w:val="28"/>
                <w:highlight w:val="none"/>
                <w:lang w:val="en-US" w:eastAsia="zh-CN" w:bidi="ar-SA"/>
              </w:rPr>
            </w:pPr>
            <w:r>
              <w:rPr>
                <w:rFonts w:hint="eastAsia" w:ascii="宋体" w:hAnsi="宋体" w:eastAsia="宋体" w:cs="宋体"/>
                <w:bCs w:val="0"/>
                <w:color w:val="auto"/>
                <w:kern w:val="2"/>
                <w:sz w:val="22"/>
                <w:szCs w:val="28"/>
                <w:highlight w:val="none"/>
                <w:lang w:val="en-US" w:eastAsia="zh-CN" w:bidi="ar-SA"/>
              </w:rPr>
              <w:t>七、其他规定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第二章第41.1款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采购代理服务费</w:t>
            </w:r>
          </w:p>
        </w:tc>
        <w:tc>
          <w:tcPr>
            <w:tcW w:w="5928" w:type="dxa"/>
            <w:vAlign w:val="center"/>
          </w:tcPr>
          <w:p>
            <w:pPr>
              <w:jc w:val="left"/>
              <w:rPr>
                <w:rFonts w:hint="default" w:ascii="宋体" w:hAnsi="宋体" w:eastAsia="宋体" w:cs="宋体"/>
                <w:bCs w:val="0"/>
                <w:color w:val="auto"/>
                <w:kern w:val="2"/>
                <w:sz w:val="22"/>
                <w:szCs w:val="28"/>
                <w:highlight w:val="none"/>
                <w:lang w:val="en-US" w:eastAsia="zh-CN" w:bidi="ar-SA"/>
              </w:rPr>
            </w:pPr>
            <w:r>
              <w:rPr>
                <w:rFonts w:hint="eastAsia" w:ascii="宋体" w:hAnsi="宋体" w:eastAsia="宋体" w:cs="宋体"/>
                <w:bCs w:val="0"/>
                <w:color w:val="auto"/>
                <w:kern w:val="2"/>
                <w:sz w:val="22"/>
                <w:szCs w:val="28"/>
                <w:highlight w:val="none"/>
                <w:lang w:val="en-US" w:eastAsia="zh-CN" w:bidi="ar-SA"/>
              </w:rPr>
              <w:t>按代理协议规定收取代理服务费：</w:t>
            </w:r>
            <w:r>
              <w:rPr>
                <w:rFonts w:hint="eastAsia" w:ascii="宋体" w:hAnsi="宋体" w:cs="宋体"/>
                <w:bCs w:val="0"/>
                <w:color w:val="auto"/>
                <w:kern w:val="2"/>
                <w:sz w:val="22"/>
                <w:szCs w:val="28"/>
                <w:highlight w:val="none"/>
                <w:lang w:val="en-US" w:eastAsia="zh-CN" w:bidi="ar-SA"/>
              </w:rPr>
              <w:t>5000.</w:t>
            </w:r>
            <w:r>
              <w:rPr>
                <w:rFonts w:hint="eastAsia" w:ascii="宋体" w:hAnsi="宋体" w:eastAsia="宋体" w:cs="宋体"/>
                <w:bCs w:val="0"/>
                <w:color w:val="auto"/>
                <w:kern w:val="2"/>
                <w:sz w:val="22"/>
                <w:szCs w:val="28"/>
                <w:highlight w:val="none"/>
                <w:lang w:val="en-US" w:eastAsia="zh-CN" w:bidi="ar-SA"/>
              </w:rPr>
              <w:t>00元</w:t>
            </w:r>
            <w:r>
              <w:rPr>
                <w:rFonts w:hint="eastAsia" w:ascii="宋体" w:hAnsi="宋体" w:cs="宋体"/>
                <w:bCs w:val="0"/>
                <w:color w:val="auto"/>
                <w:kern w:val="2"/>
                <w:sz w:val="22"/>
                <w:szCs w:val="28"/>
                <w:highlight w:val="none"/>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931" w:hRule="atLeast"/>
          <w:jc w:val="center"/>
        </w:trPr>
        <w:tc>
          <w:tcPr>
            <w:tcW w:w="1671"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第二章第42.1款</w:t>
            </w:r>
          </w:p>
        </w:tc>
        <w:tc>
          <w:tcPr>
            <w:tcW w:w="1720"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其他规定</w:t>
            </w:r>
          </w:p>
        </w:tc>
        <w:tc>
          <w:tcPr>
            <w:tcW w:w="5928" w:type="dxa"/>
            <w:vAlign w:val="center"/>
          </w:tcPr>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对列入失信被执行人、重大税收违法案件当事人名单、政府采购严重违法失信行为记录名单及其他不符合《中华人民共和国政府采购法》第二十二条规定条件的供应商，将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1、信用信息查询的查询渠道：“信用中国”网站（www.creditchina.gov.cn）和湖南省政府采购网（www.ccgp-hunan.gov.cn）。</w:t>
            </w:r>
          </w:p>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2、信用信息查询的截止时点：至本项目投标截止时间止（或至本项目响应文件提交截止时间止）。</w:t>
            </w:r>
          </w:p>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3、信用信息查询记录证据留存的具体方式：查询记录的网页打印件。</w:t>
            </w:r>
          </w:p>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4、信用信息的使用规则：对列入失信被执行人、重大税收违法案件当事人名单、政府采购严重违法失信行为记录名单及其他不符合《中华人民共和国政府采购法》第二十二条规定条件的供应商，将拒绝其参与政府采购活动。</w:t>
            </w:r>
          </w:p>
          <w:p>
            <w:pPr>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5、供应商应保持公开、公平的原则进行投标，如</w:t>
            </w:r>
            <w:r>
              <w:rPr>
                <w:rFonts w:hint="eastAsia" w:ascii="宋体" w:hAnsi="宋体" w:cs="宋体"/>
                <w:color w:val="auto"/>
                <w:sz w:val="22"/>
                <w:szCs w:val="28"/>
                <w:highlight w:val="none"/>
                <w:lang w:eastAsia="zh-CN"/>
              </w:rPr>
              <w:t>磋商小组</w:t>
            </w:r>
            <w:r>
              <w:rPr>
                <w:rFonts w:hint="eastAsia" w:ascii="宋体" w:hAnsi="宋体" w:eastAsia="宋体" w:cs="宋体"/>
                <w:color w:val="auto"/>
                <w:sz w:val="22"/>
                <w:szCs w:val="28"/>
                <w:highlight w:val="none"/>
                <w:lang w:eastAsia="zh-CN"/>
              </w:rPr>
              <w:t>认为供应商提交的报价有恶意中标的嫌疑，</w:t>
            </w:r>
            <w:r>
              <w:rPr>
                <w:rFonts w:hint="eastAsia" w:ascii="宋体" w:hAnsi="宋体" w:cs="宋体"/>
                <w:color w:val="auto"/>
                <w:sz w:val="22"/>
                <w:szCs w:val="28"/>
                <w:highlight w:val="none"/>
                <w:lang w:eastAsia="zh-CN"/>
              </w:rPr>
              <w:t>磋商小组</w:t>
            </w:r>
            <w:r>
              <w:rPr>
                <w:rFonts w:hint="eastAsia" w:ascii="宋体" w:hAnsi="宋体" w:eastAsia="宋体" w:cs="宋体"/>
                <w:color w:val="auto"/>
                <w:sz w:val="22"/>
                <w:szCs w:val="28"/>
                <w:highlight w:val="none"/>
                <w:lang w:eastAsia="zh-CN"/>
              </w:rPr>
              <w:t>有权让供应商提交成本价的组成，如在规定时间内供应商不能提交成本价的组成或提交的成本价明显低于市场平均值，</w:t>
            </w:r>
            <w:r>
              <w:rPr>
                <w:rFonts w:hint="eastAsia" w:ascii="宋体" w:hAnsi="宋体" w:cs="宋体"/>
                <w:color w:val="auto"/>
                <w:sz w:val="22"/>
                <w:szCs w:val="28"/>
                <w:highlight w:val="none"/>
                <w:lang w:eastAsia="zh-CN"/>
              </w:rPr>
              <w:t>磋商小组</w:t>
            </w:r>
            <w:r>
              <w:rPr>
                <w:rFonts w:hint="eastAsia" w:ascii="宋体" w:hAnsi="宋体" w:eastAsia="宋体" w:cs="宋体"/>
                <w:color w:val="auto"/>
                <w:sz w:val="22"/>
                <w:szCs w:val="28"/>
                <w:highlight w:val="none"/>
                <w:lang w:eastAsia="zh-CN"/>
              </w:rPr>
              <w:t>有权认为供应商属于恶性竞争，有权认定其为无效响应。</w:t>
            </w:r>
          </w:p>
        </w:tc>
      </w:tr>
    </w:tbl>
    <w:p>
      <w:pPr>
        <w:rPr>
          <w:rFonts w:hint="eastAsia" w:hAnsi="宋体" w:cs="宋体"/>
          <w:color w:val="auto"/>
          <w:highlight w:val="none"/>
        </w:rPr>
      </w:pPr>
      <w:r>
        <w:rPr>
          <w:rFonts w:hint="eastAsia" w:hAnsi="宋体" w:cs="宋体"/>
          <w:color w:val="auto"/>
          <w:highlight w:val="none"/>
        </w:rPr>
        <w:br w:type="page"/>
      </w:r>
    </w:p>
    <w:p>
      <w:pPr>
        <w:jc w:val="center"/>
        <w:rPr>
          <w:rFonts w:hint="eastAsia" w:ascii="宋体" w:hAnsi="宋体" w:eastAsia="宋体" w:cs="宋体"/>
          <w:b/>
          <w:bCs/>
          <w:color w:val="auto"/>
          <w:sz w:val="44"/>
          <w:szCs w:val="52"/>
          <w:highlight w:val="none"/>
        </w:rPr>
      </w:pPr>
      <w:r>
        <w:rPr>
          <w:rFonts w:hint="eastAsia" w:ascii="宋体" w:hAnsi="宋体" w:eastAsia="宋体" w:cs="宋体"/>
          <w:b/>
          <w:bCs/>
          <w:color w:val="auto"/>
          <w:sz w:val="32"/>
          <w:szCs w:val="40"/>
          <w:highlight w:val="none"/>
        </w:rPr>
        <w:t>磋商须知正文</w:t>
      </w:r>
    </w:p>
    <w:p>
      <w:pPr>
        <w:adjustRightInd w:val="0"/>
        <w:snapToGrid w:val="0"/>
        <w:jc w:val="center"/>
        <w:rPr>
          <w:rFonts w:hint="eastAsia" w:ascii="宋体" w:hAnsi="宋体" w:eastAsia="宋体" w:cs="宋体"/>
          <w:b/>
          <w:color w:val="auto"/>
          <w:sz w:val="28"/>
          <w:szCs w:val="28"/>
          <w:highlight w:val="none"/>
        </w:rPr>
      </w:pPr>
    </w:p>
    <w:p>
      <w:pPr>
        <w:pageBreakBefore w:val="0"/>
        <w:kinsoku/>
        <w:wordWrap/>
        <w:overflowPunct/>
        <w:bidi w:val="0"/>
        <w:adjustRightInd w:val="0"/>
        <w:snapToGrid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一、说明</w:t>
      </w:r>
    </w:p>
    <w:p>
      <w:pPr>
        <w:pageBreakBefore w:val="0"/>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1.适用范围</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本磋商文件仅适用于磋商须知前附表(以下简称</w:t>
      </w:r>
      <w:r>
        <w:rPr>
          <w:rFonts w:hint="eastAsia" w:ascii="宋体" w:hAnsi="宋体" w:eastAsia="宋体" w:cs="宋体"/>
          <w:b/>
          <w:color w:val="auto"/>
          <w:sz w:val="22"/>
          <w:szCs w:val="22"/>
          <w:highlight w:val="none"/>
        </w:rPr>
        <w:t>磋商须知前附表)</w:t>
      </w:r>
      <w:r>
        <w:rPr>
          <w:rFonts w:hint="eastAsia" w:ascii="宋体" w:hAnsi="宋体" w:eastAsia="宋体" w:cs="宋体"/>
          <w:color w:val="auto"/>
          <w:sz w:val="22"/>
          <w:szCs w:val="22"/>
          <w:highlight w:val="none"/>
        </w:rPr>
        <w:t>中所叙述的采购项目。</w:t>
      </w:r>
    </w:p>
    <w:p>
      <w:pPr>
        <w:pageBreakBefore w:val="0"/>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2.定义</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2.1 “采购人”是指依法进行政府采购的国家机关、事业单位、团体组织。本次政府采购的采购人名称、地址、电话、联系人见</w:t>
      </w:r>
      <w:r>
        <w:rPr>
          <w:rFonts w:hint="eastAsia" w:ascii="宋体" w:hAnsi="宋体" w:eastAsia="宋体" w:cs="宋体"/>
          <w:b/>
          <w:color w:val="auto"/>
          <w:sz w:val="22"/>
          <w:szCs w:val="22"/>
          <w:highlight w:val="none"/>
        </w:rPr>
        <w:t>磋商须知前附表</w:t>
      </w:r>
      <w:r>
        <w:rPr>
          <w:rFonts w:hint="eastAsia" w:ascii="宋体" w:hAnsi="宋体" w:eastAsia="宋体" w:cs="宋体"/>
          <w:color w:val="auto"/>
          <w:sz w:val="22"/>
          <w:szCs w:val="22"/>
          <w:highlight w:val="none"/>
        </w:rPr>
        <w:t>。</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2.2 “采购代理机构”是指接受采购人委托，代理采购项目的集中采购机构和其他采购代理机构。本次政府采购的采购代理机构名称、地址、电话、联系人见</w:t>
      </w:r>
      <w:r>
        <w:rPr>
          <w:rFonts w:hint="eastAsia" w:ascii="宋体" w:hAnsi="宋体" w:eastAsia="宋体" w:cs="宋体"/>
          <w:b/>
          <w:color w:val="auto"/>
          <w:sz w:val="22"/>
          <w:szCs w:val="22"/>
          <w:highlight w:val="none"/>
        </w:rPr>
        <w:t>磋商须知前附表。</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bCs/>
          <w:color w:val="auto"/>
          <w:kern w:val="36"/>
          <w:sz w:val="22"/>
          <w:szCs w:val="22"/>
          <w:highlight w:val="none"/>
        </w:rPr>
      </w:pPr>
      <w:r>
        <w:rPr>
          <w:rFonts w:hint="eastAsia" w:ascii="宋体" w:hAnsi="宋体" w:eastAsia="宋体" w:cs="宋体"/>
          <w:color w:val="auto"/>
          <w:sz w:val="22"/>
          <w:szCs w:val="22"/>
          <w:highlight w:val="none"/>
        </w:rPr>
        <w:t>2.3 “供应商”是指响应磋商文件要求、参加竞争性磋商采购的法人、其他组织或者自然人。本次政府采购项目</w:t>
      </w:r>
      <w:r>
        <w:rPr>
          <w:rFonts w:hint="eastAsia" w:ascii="宋体" w:hAnsi="宋体" w:eastAsia="宋体" w:cs="宋体"/>
          <w:color w:val="auto"/>
          <w:kern w:val="0"/>
          <w:sz w:val="22"/>
          <w:szCs w:val="22"/>
          <w:highlight w:val="none"/>
        </w:rPr>
        <w:t>邀请</w:t>
      </w:r>
      <w:r>
        <w:rPr>
          <w:rFonts w:hint="eastAsia" w:ascii="宋体" w:hAnsi="宋体" w:eastAsia="宋体" w:cs="宋体"/>
          <w:color w:val="auto"/>
          <w:sz w:val="22"/>
          <w:szCs w:val="22"/>
          <w:highlight w:val="none"/>
        </w:rPr>
        <w:t>的</w:t>
      </w:r>
      <w:r>
        <w:rPr>
          <w:rFonts w:hint="eastAsia" w:ascii="宋体" w:hAnsi="宋体" w:eastAsia="宋体" w:cs="宋体"/>
          <w:color w:val="auto"/>
          <w:kern w:val="0"/>
          <w:sz w:val="22"/>
          <w:szCs w:val="22"/>
          <w:highlight w:val="none"/>
        </w:rPr>
        <w:t>供应商通过</w:t>
      </w:r>
      <w:r>
        <w:rPr>
          <w:rFonts w:hint="eastAsia" w:ascii="宋体" w:hAnsi="宋体" w:eastAsia="宋体" w:cs="宋体"/>
          <w:b/>
          <w:color w:val="auto"/>
          <w:sz w:val="22"/>
          <w:szCs w:val="22"/>
          <w:highlight w:val="none"/>
        </w:rPr>
        <w:t>磋商须知前附表</w:t>
      </w:r>
      <w:r>
        <w:rPr>
          <w:rFonts w:hint="eastAsia" w:ascii="宋体" w:hAnsi="宋体" w:eastAsia="宋体" w:cs="宋体"/>
          <w:color w:val="auto"/>
          <w:sz w:val="22"/>
          <w:szCs w:val="22"/>
          <w:highlight w:val="none"/>
        </w:rPr>
        <w:t>所述方式</w:t>
      </w:r>
      <w:r>
        <w:rPr>
          <w:rFonts w:hint="eastAsia" w:ascii="宋体" w:hAnsi="宋体" w:eastAsia="宋体" w:cs="宋体"/>
          <w:color w:val="auto"/>
          <w:kern w:val="0"/>
          <w:sz w:val="22"/>
          <w:szCs w:val="22"/>
          <w:highlight w:val="none"/>
        </w:rPr>
        <w:t>，邀请符合资格条件的供应商提交响应文件（含资格证明资料），参与竞争性磋商采购活动。</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2.4 “磋商小组”是指</w:t>
      </w:r>
      <w:r>
        <w:rPr>
          <w:rFonts w:hint="eastAsia" w:ascii="宋体" w:hAnsi="宋体" w:eastAsia="宋体" w:cs="宋体"/>
          <w:color w:val="auto"/>
          <w:kern w:val="0"/>
          <w:sz w:val="22"/>
          <w:szCs w:val="22"/>
          <w:highlight w:val="none"/>
        </w:rPr>
        <w:t>依据财政部</w:t>
      </w:r>
      <w:r>
        <w:rPr>
          <w:rFonts w:hint="eastAsia" w:ascii="宋体" w:hAnsi="宋体" w:eastAsia="宋体" w:cs="宋体"/>
          <w:bCs/>
          <w:color w:val="auto"/>
          <w:kern w:val="36"/>
          <w:sz w:val="22"/>
          <w:szCs w:val="22"/>
          <w:highlight w:val="none"/>
        </w:rPr>
        <w:t>《政府采购竞争性磋商采购方式管理暂行办法》有关规定组建，依法依规</w:t>
      </w:r>
      <w:r>
        <w:rPr>
          <w:rFonts w:hint="eastAsia" w:ascii="宋体" w:hAnsi="宋体" w:eastAsia="宋体" w:cs="宋体"/>
          <w:color w:val="auto"/>
          <w:kern w:val="0"/>
          <w:sz w:val="22"/>
          <w:szCs w:val="22"/>
          <w:highlight w:val="none"/>
        </w:rPr>
        <w:t>履行其职责和义务的机构。</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 “货物”是指各种形态和种类的物品，包括原资料、燃料、设备、产品等，详见《政府采购品目分类目录》(</w:t>
      </w:r>
      <w:r>
        <w:rPr>
          <w:rStyle w:val="35"/>
          <w:rFonts w:hint="eastAsia" w:ascii="宋体" w:hAnsi="宋体" w:eastAsia="宋体" w:cs="宋体"/>
          <w:b w:val="0"/>
          <w:color w:val="auto"/>
          <w:sz w:val="22"/>
          <w:szCs w:val="28"/>
          <w:highlight w:val="none"/>
        </w:rPr>
        <w:t>财库[2013]189号</w:t>
      </w:r>
      <w:r>
        <w:rPr>
          <w:rFonts w:hint="eastAsia" w:ascii="宋体" w:hAnsi="宋体" w:eastAsia="宋体" w:cs="宋体"/>
          <w:color w:val="auto"/>
          <w:sz w:val="22"/>
          <w:szCs w:val="22"/>
          <w:highlight w:val="none"/>
        </w:rPr>
        <w:t>)。</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 “工程”是指建设工程，包括建筑物和构筑物的新建、改建、扩建、装修、拆除、修缮等，详见《政府采购品目分类目录》(</w:t>
      </w:r>
      <w:r>
        <w:rPr>
          <w:rStyle w:val="35"/>
          <w:rFonts w:hint="eastAsia" w:ascii="宋体" w:hAnsi="宋体" w:eastAsia="宋体" w:cs="宋体"/>
          <w:b w:val="0"/>
          <w:color w:val="auto"/>
          <w:sz w:val="22"/>
          <w:szCs w:val="28"/>
          <w:highlight w:val="none"/>
        </w:rPr>
        <w:t>财库[2013]189号</w:t>
      </w:r>
      <w:r>
        <w:rPr>
          <w:rFonts w:hint="eastAsia" w:ascii="宋体" w:hAnsi="宋体" w:eastAsia="宋体" w:cs="宋体"/>
          <w:color w:val="auto"/>
          <w:sz w:val="22"/>
          <w:szCs w:val="22"/>
          <w:highlight w:val="none"/>
        </w:rPr>
        <w:t>)。</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 “服务”是指除货物和工程以外的其他政府采购对象，详见《政府采购品目分类目录》(</w:t>
      </w:r>
      <w:r>
        <w:rPr>
          <w:rStyle w:val="35"/>
          <w:rFonts w:hint="eastAsia" w:ascii="宋体" w:hAnsi="宋体" w:eastAsia="宋体" w:cs="宋体"/>
          <w:b w:val="0"/>
          <w:color w:val="auto"/>
          <w:sz w:val="22"/>
          <w:szCs w:val="28"/>
          <w:highlight w:val="none"/>
        </w:rPr>
        <w:t>财库[2013]189号</w:t>
      </w:r>
      <w:r>
        <w:rPr>
          <w:rFonts w:hint="eastAsia" w:ascii="宋体" w:hAnsi="宋体" w:eastAsia="宋体" w:cs="宋体"/>
          <w:color w:val="auto"/>
          <w:sz w:val="22"/>
          <w:szCs w:val="22"/>
          <w:highlight w:val="none"/>
        </w:rPr>
        <w:t>)。</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2.8</w:t>
      </w:r>
      <w:r>
        <w:rPr>
          <w:rFonts w:hint="eastAsia" w:ascii="宋体" w:hAnsi="宋体" w:eastAsia="宋体" w:cs="宋体"/>
          <w:color w:val="auto"/>
          <w:sz w:val="22"/>
          <w:szCs w:val="22"/>
          <w:highlight w:val="none"/>
        </w:rPr>
        <w:t xml:space="preserve"> “节能产品”或者“环保产品”是指财政部发布的《节能产品政府采购清单》或者《环境标志产品政府采购清单》的产品，“两型产品”是指湖南省财政厅发布的《湖南省两型产品政府采购目录》的产品。</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2.9</w:t>
      </w:r>
      <w:r>
        <w:rPr>
          <w:rFonts w:hint="eastAsia" w:ascii="宋体" w:hAnsi="宋体" w:eastAsia="宋体" w:cs="宋体"/>
          <w:color w:val="auto"/>
          <w:kern w:val="0"/>
          <w:sz w:val="22"/>
          <w:szCs w:val="22"/>
          <w:highlight w:val="none"/>
        </w:rPr>
        <w:t xml:space="preserve"> “进口产品”是指通过中国海关报关验放进入中国境内且产自关境外的产品，详见《关于政府采购进口产品管理有关问题的通知》(财库[2007]119号)。</w:t>
      </w:r>
    </w:p>
    <w:p>
      <w:pPr>
        <w:pageBreakBefore w:val="0"/>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3.供应商的资格要求</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供应商应当符合</w:t>
      </w:r>
      <w:r>
        <w:rPr>
          <w:rFonts w:hint="eastAsia" w:ascii="宋体" w:hAnsi="宋体" w:eastAsia="宋体" w:cs="宋体"/>
          <w:b/>
          <w:color w:val="auto"/>
          <w:sz w:val="22"/>
          <w:szCs w:val="22"/>
          <w:highlight w:val="none"/>
        </w:rPr>
        <w:t>磋商须知前附表</w:t>
      </w:r>
      <w:r>
        <w:rPr>
          <w:rFonts w:hint="eastAsia" w:ascii="宋体" w:hAnsi="宋体" w:eastAsia="宋体" w:cs="宋体"/>
          <w:color w:val="auto"/>
          <w:sz w:val="22"/>
          <w:szCs w:val="22"/>
          <w:highlight w:val="none"/>
        </w:rPr>
        <w:t>中规定的资格条件要求。</w:t>
      </w:r>
    </w:p>
    <w:p>
      <w:pPr>
        <w:pageBreakBefore w:val="0"/>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3.2供应商</w:t>
      </w:r>
      <w:r>
        <w:rPr>
          <w:rFonts w:hint="eastAsia" w:ascii="宋体" w:hAnsi="宋体" w:eastAsia="宋体" w:cs="宋体"/>
          <w:color w:val="auto"/>
          <w:sz w:val="22"/>
          <w:szCs w:val="28"/>
          <w:highlight w:val="none"/>
        </w:rPr>
        <w:t>为联合体形式的</w:t>
      </w:r>
      <w:r>
        <w:rPr>
          <w:rFonts w:hint="eastAsia" w:ascii="宋体" w:hAnsi="宋体" w:eastAsia="宋体" w:cs="宋体"/>
          <w:color w:val="auto"/>
          <w:sz w:val="22"/>
          <w:szCs w:val="22"/>
          <w:highlight w:val="none"/>
        </w:rPr>
        <w:t xml:space="preserve">，除应满足本章第3.1款资格条件要求及第3.3款规定外，还应遵守以下规定： </w:t>
      </w:r>
    </w:p>
    <w:p>
      <w:pPr>
        <w:pageBreakBefore w:val="0"/>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（1）联合体各方应按磋商文件提供的格式签订联合体协议书，明确联合体牵头人和各方权利义务(含承担工作及工作量比例)；</w:t>
      </w:r>
    </w:p>
    <w:p>
      <w:pPr>
        <w:pageBreakBefore w:val="0"/>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（2）联合体中有同类资质的供应商按照联合体分工承担相同工作的，应当按照资质等级较低的供应商确定资质等级；</w:t>
      </w:r>
    </w:p>
    <w:p>
      <w:pPr>
        <w:pageBreakBefore w:val="0"/>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（3）以联合体形式参加政府采购活动的，联合体各方不得再单独参加或者与其他供应商另外组成联合体参加同一合同项下的政府采购活动。</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 供应商不得存在下列情形之一：</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（l）与采购人、采购代理机构存在</w:t>
      </w:r>
      <w:r>
        <w:rPr>
          <w:rFonts w:hint="eastAsia" w:ascii="宋体" w:hAnsi="宋体" w:eastAsia="宋体" w:cs="宋体"/>
          <w:bCs/>
          <w:color w:val="auto"/>
          <w:sz w:val="22"/>
          <w:szCs w:val="22"/>
          <w:highlight w:val="none"/>
        </w:rPr>
        <w:t>隶属关系或者其他利害关系</w:t>
      </w:r>
      <w:r>
        <w:rPr>
          <w:rFonts w:hint="eastAsia" w:ascii="宋体" w:hAnsi="宋体" w:eastAsia="宋体" w:cs="宋体"/>
          <w:color w:val="auto"/>
          <w:sz w:val="22"/>
          <w:szCs w:val="22"/>
          <w:highlight w:val="none"/>
        </w:rPr>
        <w:t>。</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（2）与其他供应商的法定代表人（或者负责人）为同一人，或者与其他供应商存在直接控股、管理关系。</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bCs/>
          <w:color w:val="auto"/>
          <w:sz w:val="22"/>
          <w:szCs w:val="22"/>
          <w:highlight w:val="none"/>
        </w:rPr>
        <w:t>受到刑事处罚，或者受到三万元以上的罚款、责令停产停业、在一至三年内禁止参加政府采购活动、暂扣或者吊销许可证、暂扣或者吊销执照等情形之一的行政处罚，或者存在</w:t>
      </w:r>
      <w:r>
        <w:rPr>
          <w:rFonts w:hint="eastAsia" w:ascii="宋体" w:hAnsi="宋体" w:eastAsia="宋体" w:cs="宋体"/>
          <w:color w:val="auto"/>
          <w:sz w:val="22"/>
          <w:szCs w:val="22"/>
          <w:highlight w:val="none"/>
        </w:rPr>
        <w:t>财政部门认定的其他重大违法记录。</w:t>
      </w:r>
    </w:p>
    <w:p>
      <w:pPr>
        <w:pageBreakBefore w:val="0"/>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4.参与磋商的费用 </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 无论磋商的结果如何，供应商应自行承担所有与竞争性磋商采购活动有关的全部费用。</w:t>
      </w:r>
    </w:p>
    <w:p>
      <w:pPr>
        <w:pStyle w:val="20"/>
        <w:pageBreakBefore w:val="0"/>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eastAsia="宋体" w:cs="宋体"/>
          <w:b/>
          <w:bCs/>
          <w:color w:val="auto"/>
          <w:sz w:val="22"/>
          <w:szCs w:val="22"/>
          <w:highlight w:val="none"/>
        </w:rPr>
        <w:t>授权委托</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5.1供应商代表为供应商法定代表人的，应持有法定代表人身份证明。供应商代表不是供应商法定代表人的，应持有法定代表人授权书，并附法定代表人身份证明。</w:t>
      </w:r>
    </w:p>
    <w:p>
      <w:pPr>
        <w:pStyle w:val="20"/>
        <w:pageBreakBefore w:val="0"/>
        <w:kinsoku/>
        <w:wordWrap/>
        <w:overflowPunct/>
        <w:bidi w:val="0"/>
        <w:adjustRightInd w:val="0"/>
        <w:snapToGrid w:val="0"/>
        <w:spacing w:line="360" w:lineRule="auto"/>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6．联合体形式</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6.1除</w:t>
      </w:r>
      <w:r>
        <w:rPr>
          <w:rFonts w:hint="eastAsia" w:ascii="宋体" w:hAnsi="宋体" w:eastAsia="宋体" w:cs="宋体"/>
          <w:b/>
          <w:color w:val="auto"/>
          <w:sz w:val="22"/>
          <w:szCs w:val="22"/>
          <w:highlight w:val="none"/>
        </w:rPr>
        <w:t>磋商须知前附表</w:t>
      </w:r>
      <w:r>
        <w:rPr>
          <w:rFonts w:hint="eastAsia" w:ascii="宋体" w:hAnsi="宋体" w:eastAsia="宋体" w:cs="宋体"/>
          <w:color w:val="auto"/>
          <w:sz w:val="22"/>
          <w:szCs w:val="22"/>
          <w:highlight w:val="none"/>
        </w:rPr>
        <w:t>中另有规定，本次谈判采购不接受为联合体形式的供应商。</w:t>
      </w:r>
    </w:p>
    <w:p>
      <w:pPr>
        <w:pageBreakBefore w:val="0"/>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6.2供应商</w:t>
      </w:r>
      <w:r>
        <w:rPr>
          <w:rFonts w:hint="eastAsia" w:ascii="宋体" w:hAnsi="宋体" w:eastAsia="宋体" w:cs="宋体"/>
          <w:color w:val="auto"/>
          <w:sz w:val="22"/>
          <w:szCs w:val="28"/>
          <w:highlight w:val="none"/>
        </w:rPr>
        <w:t>为联合体形式的</w:t>
      </w:r>
      <w:r>
        <w:rPr>
          <w:rFonts w:hint="eastAsia" w:ascii="宋体" w:hAnsi="宋体" w:eastAsia="宋体" w:cs="宋体"/>
          <w:color w:val="auto"/>
          <w:sz w:val="22"/>
          <w:szCs w:val="22"/>
          <w:highlight w:val="none"/>
        </w:rPr>
        <w:t>，除应符合本章第3条规定外，还应遵守以下规定：</w:t>
      </w:r>
    </w:p>
    <w:p>
      <w:pPr>
        <w:pageBreakBefore w:val="0"/>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（l）联合体各方必须签订联合体协议书，明确联合体牵头人和各方的义务、工作、合同工作量比例；</w:t>
      </w:r>
    </w:p>
    <w:p>
      <w:pPr>
        <w:pageBreakBefore w:val="0"/>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（2）联合体各方均应当符合本章第3.1</w:t>
      </w:r>
      <w:r>
        <w:rPr>
          <w:rFonts w:hint="eastAsia" w:ascii="宋体" w:hAnsi="宋体" w:eastAsia="宋体" w:cs="宋体"/>
          <w:color w:val="auto"/>
          <w:kern w:val="0"/>
          <w:sz w:val="22"/>
          <w:szCs w:val="22"/>
          <w:highlight w:val="none"/>
          <w:lang w:val="zh-CN"/>
        </w:rPr>
        <w:t>款</w:t>
      </w:r>
      <w:r>
        <w:rPr>
          <w:rFonts w:hint="eastAsia" w:ascii="宋体" w:hAnsi="宋体" w:eastAsia="宋体" w:cs="宋体"/>
          <w:color w:val="auto"/>
          <w:sz w:val="22"/>
          <w:szCs w:val="22"/>
          <w:highlight w:val="none"/>
        </w:rPr>
        <w:t>规定的供应商基本资格条件；</w:t>
      </w:r>
    </w:p>
    <w:p>
      <w:pPr>
        <w:pageBreakBefore w:val="0"/>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8"/>
          <w:highlight w:val="none"/>
        </w:rPr>
        <w:t>除</w:t>
      </w:r>
      <w:r>
        <w:rPr>
          <w:rFonts w:hint="eastAsia" w:ascii="宋体" w:hAnsi="宋体" w:eastAsia="宋体" w:cs="宋体"/>
          <w:b/>
          <w:color w:val="auto"/>
          <w:sz w:val="22"/>
          <w:szCs w:val="28"/>
          <w:highlight w:val="none"/>
        </w:rPr>
        <w:t>磋商须知前附表</w:t>
      </w:r>
      <w:r>
        <w:rPr>
          <w:rFonts w:hint="eastAsia" w:ascii="宋体" w:hAnsi="宋体" w:eastAsia="宋体" w:cs="宋体"/>
          <w:color w:val="auto"/>
          <w:sz w:val="22"/>
          <w:szCs w:val="28"/>
          <w:highlight w:val="none"/>
        </w:rPr>
        <w:t>中另有规定，</w:t>
      </w:r>
      <w:r>
        <w:rPr>
          <w:rFonts w:hint="eastAsia" w:ascii="宋体" w:hAnsi="宋体" w:eastAsia="宋体" w:cs="宋体"/>
          <w:color w:val="auto"/>
          <w:sz w:val="22"/>
          <w:szCs w:val="22"/>
          <w:highlight w:val="none"/>
        </w:rPr>
        <w:t>联合体各方中至少有一方应当符合本章第3.1</w:t>
      </w:r>
      <w:r>
        <w:rPr>
          <w:rFonts w:hint="eastAsia" w:ascii="宋体" w:hAnsi="宋体" w:eastAsia="宋体" w:cs="宋体"/>
          <w:color w:val="auto"/>
          <w:kern w:val="0"/>
          <w:sz w:val="22"/>
          <w:szCs w:val="22"/>
          <w:highlight w:val="none"/>
          <w:lang w:val="zh-CN"/>
        </w:rPr>
        <w:t>款</w:t>
      </w:r>
      <w:r>
        <w:rPr>
          <w:rFonts w:hint="eastAsia" w:ascii="宋体" w:hAnsi="宋体" w:eastAsia="宋体" w:cs="宋体"/>
          <w:color w:val="auto"/>
          <w:sz w:val="22"/>
          <w:szCs w:val="22"/>
          <w:highlight w:val="none"/>
        </w:rPr>
        <w:t>规定的供应商特定资格条件；</w:t>
      </w:r>
    </w:p>
    <w:p>
      <w:pPr>
        <w:pageBreakBefore w:val="0"/>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（4）</w:t>
      </w:r>
      <w:r>
        <w:rPr>
          <w:rFonts w:hint="eastAsia" w:ascii="宋体" w:hAnsi="宋体" w:eastAsia="宋体" w:cs="宋体"/>
          <w:color w:val="auto"/>
          <w:kern w:val="0"/>
          <w:sz w:val="22"/>
          <w:szCs w:val="22"/>
          <w:highlight w:val="none"/>
          <w:lang w:val="zh-CN"/>
        </w:rPr>
        <w:t>联合体各方不得再单独或与其他供应商组成新的联合体参加同一项目的采购活动。</w:t>
      </w:r>
    </w:p>
    <w:p>
      <w:pPr>
        <w:pageBreakBefore w:val="0"/>
        <w:kinsoku/>
        <w:wordWrap/>
        <w:overflowPunct/>
        <w:bidi w:val="0"/>
        <w:adjustRightInd w:val="0"/>
        <w:snapToGrid w:val="0"/>
        <w:spacing w:line="360" w:lineRule="auto"/>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7.现场勘察</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7.1供应商应按</w:t>
      </w:r>
      <w:r>
        <w:rPr>
          <w:rFonts w:hint="eastAsia" w:ascii="宋体" w:hAnsi="宋体" w:eastAsia="宋体" w:cs="宋体"/>
          <w:b/>
          <w:color w:val="auto"/>
          <w:sz w:val="22"/>
          <w:szCs w:val="28"/>
          <w:highlight w:val="none"/>
        </w:rPr>
        <w:t>磋商须知前附表</w:t>
      </w:r>
      <w:r>
        <w:rPr>
          <w:rFonts w:hint="eastAsia" w:ascii="宋体" w:hAnsi="宋体" w:eastAsia="宋体" w:cs="宋体"/>
          <w:color w:val="auto"/>
          <w:sz w:val="22"/>
          <w:szCs w:val="28"/>
          <w:highlight w:val="none"/>
        </w:rPr>
        <w:t>中规定</w:t>
      </w:r>
      <w:r>
        <w:rPr>
          <w:rFonts w:hint="eastAsia" w:ascii="宋体" w:hAnsi="宋体" w:eastAsia="宋体" w:cs="宋体"/>
          <w:color w:val="auto"/>
          <w:sz w:val="22"/>
          <w:szCs w:val="22"/>
          <w:highlight w:val="none"/>
        </w:rPr>
        <w:t>对采购项目现场和周围环境的现场考察。</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7.2勘察现场的费用由供应商自己承担，勘察期间所发生的人身伤害及财产损失由供应商自己负责。</w:t>
      </w:r>
    </w:p>
    <w:p>
      <w:pPr>
        <w:pageBreakBefore w:val="0"/>
        <w:kinsoku/>
        <w:wordWrap/>
        <w:overflowPunct/>
        <w:bidi w:val="0"/>
        <w:adjustRightInd w:val="0"/>
        <w:snapToGrid w:val="0"/>
        <w:spacing w:line="360" w:lineRule="auto"/>
        <w:ind w:firstLine="440" w:firstLineChars="20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7.3采购人不对供应商据此而做出的推论、理解和结论负责。一旦成交，供应商不得以任何借口，提出额外补偿，或延长合同期限的要求。</w:t>
      </w:r>
    </w:p>
    <w:p>
      <w:pPr>
        <w:pageBreakBefore w:val="0"/>
        <w:kinsoku/>
        <w:wordWrap/>
        <w:overflowPunct/>
        <w:bidi w:val="0"/>
        <w:adjustRightInd w:val="0"/>
        <w:snapToGrid w:val="0"/>
        <w:spacing w:line="360" w:lineRule="auto"/>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8.采购进口产品</w:t>
      </w:r>
    </w:p>
    <w:p>
      <w:pPr>
        <w:pageBreakBefore w:val="0"/>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8.1除</w:t>
      </w:r>
      <w:r>
        <w:rPr>
          <w:rFonts w:hint="eastAsia" w:ascii="宋体" w:hAnsi="宋体" w:eastAsia="宋体" w:cs="宋体"/>
          <w:b/>
          <w:color w:val="auto"/>
          <w:sz w:val="22"/>
          <w:szCs w:val="22"/>
          <w:highlight w:val="none"/>
        </w:rPr>
        <w:t>磋商文件前附表</w:t>
      </w:r>
      <w:r>
        <w:rPr>
          <w:rFonts w:hint="eastAsia" w:ascii="宋体" w:hAnsi="宋体" w:eastAsia="宋体" w:cs="宋体"/>
          <w:color w:val="auto"/>
          <w:sz w:val="22"/>
          <w:szCs w:val="22"/>
          <w:highlight w:val="none"/>
        </w:rPr>
        <w:t>另有规定外，本项目</w:t>
      </w:r>
      <w:r>
        <w:rPr>
          <w:rFonts w:hint="eastAsia" w:ascii="宋体" w:hAnsi="宋体" w:eastAsia="宋体" w:cs="宋体"/>
          <w:color w:val="auto"/>
          <w:kern w:val="0"/>
          <w:sz w:val="22"/>
          <w:szCs w:val="22"/>
          <w:highlight w:val="none"/>
        </w:rPr>
        <w:t>拒绝进口产品参加</w:t>
      </w:r>
      <w:r>
        <w:rPr>
          <w:rFonts w:hint="eastAsia" w:ascii="宋体" w:hAnsi="宋体" w:eastAsia="宋体" w:cs="宋体"/>
          <w:color w:val="auto"/>
          <w:sz w:val="22"/>
          <w:szCs w:val="22"/>
          <w:highlight w:val="none"/>
        </w:rPr>
        <w:t>竞争性磋商采购活动</w:t>
      </w:r>
      <w:r>
        <w:rPr>
          <w:rFonts w:hint="eastAsia" w:ascii="宋体" w:hAnsi="宋体" w:eastAsia="宋体" w:cs="宋体"/>
          <w:color w:val="auto"/>
          <w:kern w:val="0"/>
          <w:sz w:val="22"/>
          <w:szCs w:val="22"/>
          <w:highlight w:val="none"/>
        </w:rPr>
        <w:t>。</w:t>
      </w:r>
    </w:p>
    <w:p>
      <w:pPr>
        <w:pageBreakBefore w:val="0"/>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8.2</w:t>
      </w:r>
      <w:r>
        <w:rPr>
          <w:rFonts w:hint="eastAsia" w:ascii="宋体" w:hAnsi="宋体" w:eastAsia="宋体" w:cs="宋体"/>
          <w:color w:val="auto"/>
          <w:sz w:val="22"/>
          <w:szCs w:val="22"/>
          <w:highlight w:val="none"/>
        </w:rPr>
        <w:t>本章第7.1</w:t>
      </w:r>
      <w:r>
        <w:rPr>
          <w:rFonts w:hint="eastAsia" w:ascii="宋体" w:hAnsi="宋体" w:eastAsia="宋体" w:cs="宋体"/>
          <w:color w:val="auto"/>
          <w:kern w:val="0"/>
          <w:sz w:val="22"/>
          <w:szCs w:val="22"/>
          <w:highlight w:val="none"/>
          <w:lang w:val="zh-CN"/>
        </w:rPr>
        <w:t>款</w:t>
      </w:r>
      <w:r>
        <w:rPr>
          <w:rFonts w:hint="eastAsia" w:ascii="宋体" w:hAnsi="宋体" w:eastAsia="宋体" w:cs="宋体"/>
          <w:color w:val="auto"/>
          <w:sz w:val="22"/>
          <w:szCs w:val="22"/>
          <w:highlight w:val="none"/>
        </w:rPr>
        <w:t>规定</w:t>
      </w:r>
      <w:r>
        <w:rPr>
          <w:rFonts w:hint="eastAsia" w:ascii="宋体" w:hAnsi="宋体" w:eastAsia="宋体" w:cs="宋体"/>
          <w:color w:val="auto"/>
          <w:kern w:val="0"/>
          <w:sz w:val="22"/>
          <w:szCs w:val="22"/>
          <w:highlight w:val="none"/>
        </w:rPr>
        <w:t>同意购买进口产品的，</w:t>
      </w:r>
      <w:r>
        <w:rPr>
          <w:rFonts w:hint="eastAsia" w:ascii="宋体" w:hAnsi="宋体" w:eastAsia="宋体" w:cs="宋体"/>
          <w:color w:val="auto"/>
          <w:sz w:val="22"/>
          <w:szCs w:val="22"/>
          <w:highlight w:val="none"/>
        </w:rPr>
        <w:t>本项目</w:t>
      </w:r>
      <w:r>
        <w:rPr>
          <w:rFonts w:hint="eastAsia" w:ascii="宋体" w:hAnsi="宋体" w:eastAsia="宋体" w:cs="宋体"/>
          <w:color w:val="auto"/>
          <w:kern w:val="0"/>
          <w:sz w:val="22"/>
          <w:szCs w:val="22"/>
          <w:highlight w:val="none"/>
          <w:lang w:val="zh-CN"/>
        </w:rPr>
        <w:t>采购活动</w:t>
      </w:r>
      <w:r>
        <w:rPr>
          <w:rFonts w:hint="eastAsia" w:ascii="宋体" w:hAnsi="宋体" w:eastAsia="宋体" w:cs="宋体"/>
          <w:color w:val="auto"/>
          <w:kern w:val="0"/>
          <w:sz w:val="22"/>
          <w:szCs w:val="22"/>
          <w:highlight w:val="none"/>
        </w:rPr>
        <w:t>不限制满足</w:t>
      </w:r>
      <w:r>
        <w:rPr>
          <w:rFonts w:hint="eastAsia" w:ascii="宋体" w:hAnsi="宋体" w:eastAsia="宋体" w:cs="宋体"/>
          <w:color w:val="auto"/>
          <w:sz w:val="22"/>
          <w:szCs w:val="22"/>
          <w:highlight w:val="none"/>
        </w:rPr>
        <w:t>磋商文件要求</w:t>
      </w:r>
      <w:r>
        <w:rPr>
          <w:rFonts w:hint="eastAsia" w:ascii="宋体" w:hAnsi="宋体" w:eastAsia="宋体" w:cs="宋体"/>
          <w:color w:val="auto"/>
          <w:kern w:val="0"/>
          <w:sz w:val="22"/>
          <w:szCs w:val="22"/>
          <w:highlight w:val="none"/>
        </w:rPr>
        <w:t>的国内产品参与</w:t>
      </w:r>
      <w:r>
        <w:rPr>
          <w:rFonts w:hint="eastAsia" w:ascii="宋体" w:hAnsi="宋体" w:eastAsia="宋体" w:cs="宋体"/>
          <w:color w:val="auto"/>
          <w:sz w:val="22"/>
          <w:szCs w:val="22"/>
          <w:highlight w:val="none"/>
        </w:rPr>
        <w:t>竞争性磋商</w:t>
      </w:r>
      <w:r>
        <w:rPr>
          <w:rFonts w:hint="eastAsia" w:ascii="宋体" w:hAnsi="宋体" w:eastAsia="宋体" w:cs="宋体"/>
          <w:color w:val="auto"/>
          <w:kern w:val="0"/>
          <w:sz w:val="22"/>
          <w:szCs w:val="22"/>
          <w:highlight w:val="none"/>
        </w:rPr>
        <w:t>。</w:t>
      </w:r>
    </w:p>
    <w:p>
      <w:pPr>
        <w:pageBreakBefore w:val="0"/>
        <w:kinsoku/>
        <w:wordWrap/>
        <w:overflowPunct/>
        <w:bidi w:val="0"/>
        <w:adjustRightInd w:val="0"/>
        <w:snapToGrid w:val="0"/>
        <w:spacing w:line="360" w:lineRule="auto"/>
        <w:jc w:val="left"/>
        <w:textAlignment w:val="auto"/>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9.</w:t>
      </w:r>
      <w:r>
        <w:rPr>
          <w:rFonts w:hint="eastAsia" w:ascii="宋体" w:hAnsi="宋体" w:eastAsia="宋体" w:cs="宋体"/>
          <w:b/>
          <w:color w:val="auto"/>
          <w:sz w:val="22"/>
          <w:szCs w:val="22"/>
          <w:highlight w:val="none"/>
        </w:rPr>
        <w:t xml:space="preserve"> 政府采购政策支持</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9.1对列入财政部、国家发展改革委发布的《节能产品政府采购清单》且属于应当“强制采购的节能产品”，按照规定实行强制采购。实行政府采购强制采购的节能产品见</w:t>
      </w:r>
      <w:r>
        <w:rPr>
          <w:rFonts w:hint="eastAsia" w:ascii="宋体" w:hAnsi="宋体" w:eastAsia="宋体" w:cs="宋体"/>
          <w:b/>
          <w:color w:val="auto"/>
          <w:kern w:val="0"/>
          <w:sz w:val="22"/>
          <w:szCs w:val="22"/>
          <w:highlight w:val="none"/>
        </w:rPr>
        <w:t>磋商文件前附表。</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9.2对列入财政部、国家发展改革委发布的《节能产品政府采购清单》的“非强制采购节能产品”，财政部、环境保护部发布的《环境标志产品政府采购清单》的“环境标志产品”，湖南省财政厅、湖南省科学技术厅、湖南省长株潭“两型社会”试验区建设管理委员会发布的《湖南省两型产品政府采购目录》内的“两型产品”以及中小企业，实行优先采购，按照省级以上财政部门有关政策规定，评审时进行价格扣除或加分。实行政府采购优先采购的优惠率见</w:t>
      </w:r>
      <w:r>
        <w:rPr>
          <w:rFonts w:hint="eastAsia" w:ascii="宋体" w:hAnsi="宋体" w:eastAsia="宋体" w:cs="宋体"/>
          <w:b/>
          <w:color w:val="auto"/>
          <w:kern w:val="0"/>
          <w:sz w:val="22"/>
          <w:szCs w:val="22"/>
          <w:highlight w:val="none"/>
        </w:rPr>
        <w:t>磋商文件前附表。</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9.3产品同时属于“非强制采购节能产品”、“环境标志产品”及“两型产品”的，评审时只有其中一项能享受优先待遇(供应商自行选择，并在报价文件中并填报相关信息及数据)；中小企业可以与同时属于“非强制采购节能产品”、“环境标志产品”及“两型产品”中的一项重复计算。</w:t>
      </w:r>
    </w:p>
    <w:p>
      <w:pPr>
        <w:pageBreakBefore w:val="0"/>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9.4同一项目中部分产品属于优先采购政策的，评审时只对该部分产品的报价实行价格扣除及加分。</w:t>
      </w:r>
    </w:p>
    <w:p>
      <w:pPr>
        <w:pageBreakBefore w:val="0"/>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9.5符合本章第9.1</w:t>
      </w:r>
      <w:r>
        <w:rPr>
          <w:rFonts w:hint="eastAsia" w:ascii="宋体" w:hAnsi="宋体" w:eastAsia="宋体" w:cs="宋体"/>
          <w:color w:val="auto"/>
          <w:kern w:val="0"/>
          <w:sz w:val="22"/>
          <w:szCs w:val="22"/>
          <w:highlight w:val="none"/>
          <w:lang w:val="zh-CN"/>
        </w:rPr>
        <w:t>款、</w:t>
      </w:r>
      <w:r>
        <w:rPr>
          <w:rFonts w:hint="eastAsia" w:ascii="宋体" w:hAnsi="宋体" w:eastAsia="宋体" w:cs="宋体"/>
          <w:color w:val="auto"/>
          <w:sz w:val="22"/>
          <w:szCs w:val="22"/>
          <w:highlight w:val="none"/>
        </w:rPr>
        <w:t>第9.2</w:t>
      </w:r>
      <w:r>
        <w:rPr>
          <w:rFonts w:hint="eastAsia" w:ascii="宋体" w:hAnsi="宋体" w:eastAsia="宋体" w:cs="宋体"/>
          <w:color w:val="auto"/>
          <w:kern w:val="0"/>
          <w:sz w:val="22"/>
          <w:szCs w:val="22"/>
          <w:highlight w:val="none"/>
          <w:lang w:val="zh-CN"/>
        </w:rPr>
        <w:t>款</w:t>
      </w:r>
      <w:r>
        <w:rPr>
          <w:rFonts w:hint="eastAsia" w:ascii="宋体" w:hAnsi="宋体" w:eastAsia="宋体" w:cs="宋体"/>
          <w:color w:val="auto"/>
          <w:sz w:val="22"/>
          <w:szCs w:val="22"/>
          <w:highlight w:val="none"/>
        </w:rPr>
        <w:t>规定的，应提供相关证明资料。</w:t>
      </w:r>
    </w:p>
    <w:p>
      <w:pPr>
        <w:pageBreakBefore w:val="0"/>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9.6供应商有融资、担保需求的，具体办理流程可向</w:t>
      </w:r>
      <w:r>
        <w:rPr>
          <w:rFonts w:hint="eastAsia" w:ascii="宋体" w:hAnsi="宋体" w:eastAsia="宋体" w:cs="宋体"/>
          <w:b/>
          <w:color w:val="auto"/>
          <w:sz w:val="22"/>
          <w:szCs w:val="22"/>
          <w:highlight w:val="none"/>
        </w:rPr>
        <w:t>磋商须知前附表</w:t>
      </w:r>
      <w:r>
        <w:rPr>
          <w:rFonts w:hint="eastAsia" w:ascii="宋体" w:hAnsi="宋体" w:eastAsia="宋体" w:cs="宋体"/>
          <w:color w:val="auto"/>
          <w:sz w:val="22"/>
          <w:szCs w:val="22"/>
          <w:highlight w:val="none"/>
        </w:rPr>
        <w:t>所列金融机构和担保机构询问。</w:t>
      </w:r>
    </w:p>
    <w:p>
      <w:pPr>
        <w:pageBreakBefore w:val="0"/>
        <w:kinsoku/>
        <w:wordWrap/>
        <w:overflowPunct/>
        <w:bidi w:val="0"/>
        <w:adjustRightInd w:val="0"/>
        <w:snapToGrid w:val="0"/>
        <w:spacing w:line="360" w:lineRule="auto"/>
        <w:ind w:left="902" w:hanging="1052" w:hangingChars="376"/>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二、磋商文件</w:t>
      </w:r>
    </w:p>
    <w:p>
      <w:pPr>
        <w:pageBreakBefore w:val="0"/>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10．磋商文件的组成</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 磋商文件由下列文件组成：</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第一章 磋商邀请</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第二章 磋商须知</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第三章 政府采购合同格式条款</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第四章 采购需求</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第五章 响应文件组成</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10.2</w:t>
      </w:r>
      <w:r>
        <w:rPr>
          <w:rFonts w:hint="eastAsia" w:ascii="宋体" w:hAnsi="宋体" w:eastAsia="宋体" w:cs="宋体"/>
          <w:color w:val="auto"/>
          <w:kern w:val="0"/>
          <w:sz w:val="22"/>
          <w:szCs w:val="22"/>
          <w:highlight w:val="none"/>
        </w:rPr>
        <w:t>磋商小组根据与供应商磋商情况可能实质性变动的内容，包括采购需求中的技术、服务要求以及合同条款，</w:t>
      </w:r>
      <w:r>
        <w:rPr>
          <w:rFonts w:hint="eastAsia" w:ascii="宋体" w:hAnsi="宋体" w:eastAsia="宋体" w:cs="宋体"/>
          <w:color w:val="auto"/>
          <w:sz w:val="22"/>
          <w:szCs w:val="22"/>
          <w:highlight w:val="none"/>
        </w:rPr>
        <w:t>在</w:t>
      </w:r>
      <w:r>
        <w:rPr>
          <w:rFonts w:hint="eastAsia" w:ascii="宋体" w:hAnsi="宋体" w:eastAsia="宋体" w:cs="宋体"/>
          <w:b/>
          <w:color w:val="auto"/>
          <w:sz w:val="22"/>
          <w:szCs w:val="22"/>
          <w:highlight w:val="none"/>
        </w:rPr>
        <w:t>磋商须知前附表</w:t>
      </w:r>
      <w:r>
        <w:rPr>
          <w:rFonts w:hint="eastAsia" w:ascii="宋体" w:hAnsi="宋体" w:eastAsia="宋体" w:cs="宋体"/>
          <w:color w:val="auto"/>
          <w:sz w:val="22"/>
          <w:szCs w:val="22"/>
          <w:highlight w:val="none"/>
        </w:rPr>
        <w:t>中明确。</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8"/>
          <w:highlight w:val="none"/>
        </w:rPr>
        <w:t>10.3</w:t>
      </w:r>
      <w:r>
        <w:rPr>
          <w:rFonts w:hint="eastAsia" w:ascii="宋体" w:hAnsi="宋体" w:eastAsia="宋体" w:cs="宋体"/>
          <w:color w:val="auto"/>
          <w:sz w:val="22"/>
          <w:szCs w:val="22"/>
          <w:highlight w:val="none"/>
        </w:rPr>
        <w:t>供应商应仔细阅读</w:t>
      </w:r>
      <w:r>
        <w:rPr>
          <w:rFonts w:hint="eastAsia" w:ascii="宋体" w:hAnsi="宋体" w:eastAsia="宋体" w:cs="宋体"/>
          <w:bCs/>
          <w:color w:val="auto"/>
          <w:sz w:val="22"/>
          <w:szCs w:val="22"/>
          <w:highlight w:val="none"/>
        </w:rPr>
        <w:t>磋商</w:t>
      </w:r>
      <w:r>
        <w:rPr>
          <w:rFonts w:hint="eastAsia" w:ascii="宋体" w:hAnsi="宋体" w:eastAsia="宋体" w:cs="宋体"/>
          <w:color w:val="auto"/>
          <w:sz w:val="22"/>
          <w:szCs w:val="22"/>
          <w:highlight w:val="none"/>
        </w:rPr>
        <w:t>文件的全部内容，按照</w:t>
      </w:r>
      <w:r>
        <w:rPr>
          <w:rFonts w:hint="eastAsia" w:ascii="宋体" w:hAnsi="宋体" w:eastAsia="宋体" w:cs="宋体"/>
          <w:bCs/>
          <w:color w:val="auto"/>
          <w:sz w:val="22"/>
          <w:szCs w:val="22"/>
          <w:highlight w:val="none"/>
        </w:rPr>
        <w:t>磋商</w:t>
      </w:r>
      <w:r>
        <w:rPr>
          <w:rFonts w:hint="eastAsia" w:ascii="宋体" w:hAnsi="宋体" w:eastAsia="宋体" w:cs="宋体"/>
          <w:color w:val="auto"/>
          <w:sz w:val="22"/>
          <w:szCs w:val="22"/>
          <w:highlight w:val="none"/>
        </w:rPr>
        <w:t>文件要求编制响应文件。任何对</w:t>
      </w:r>
      <w:r>
        <w:rPr>
          <w:rFonts w:hint="eastAsia" w:ascii="宋体" w:hAnsi="宋体" w:eastAsia="宋体" w:cs="宋体"/>
          <w:bCs/>
          <w:color w:val="auto"/>
          <w:sz w:val="22"/>
          <w:szCs w:val="22"/>
          <w:highlight w:val="none"/>
        </w:rPr>
        <w:t>磋商</w:t>
      </w:r>
      <w:r>
        <w:rPr>
          <w:rFonts w:hint="eastAsia" w:ascii="宋体" w:hAnsi="宋体" w:eastAsia="宋体" w:cs="宋体"/>
          <w:color w:val="auto"/>
          <w:sz w:val="22"/>
          <w:szCs w:val="22"/>
          <w:highlight w:val="none"/>
        </w:rPr>
        <w:t>文件的忽略或误解不能作为响应文件存在缺陷或瑕疵的理由，其风险由供应商承担。</w:t>
      </w:r>
    </w:p>
    <w:p>
      <w:pPr>
        <w:pageBreakBefore w:val="0"/>
        <w:kinsoku/>
        <w:wordWrap/>
        <w:overflowPunct/>
        <w:bidi w:val="0"/>
        <w:adjustRightInd w:val="0"/>
        <w:snapToGrid w:val="0"/>
        <w:spacing w:line="360" w:lineRule="auto"/>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w:t>
      </w:r>
      <w:r>
        <w:rPr>
          <w:rFonts w:hint="eastAsia" w:ascii="宋体" w:hAnsi="宋体" w:eastAsia="宋体" w:cs="宋体"/>
          <w:b/>
          <w:color w:val="auto"/>
          <w:sz w:val="22"/>
          <w:szCs w:val="28"/>
          <w:highlight w:val="none"/>
        </w:rPr>
        <w:t xml:space="preserve"> </w:t>
      </w:r>
      <w:r>
        <w:rPr>
          <w:rFonts w:hint="eastAsia" w:ascii="宋体" w:hAnsi="宋体" w:eastAsia="宋体" w:cs="宋体"/>
          <w:b/>
          <w:color w:val="auto"/>
          <w:sz w:val="22"/>
          <w:szCs w:val="22"/>
          <w:highlight w:val="none"/>
        </w:rPr>
        <w:t>磋商文件的提供期限</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11.1磋商文件的提供期限自开始发出之日起不得少于五个工作日。具体提供期限见</w:t>
      </w:r>
      <w:r>
        <w:rPr>
          <w:rFonts w:hint="eastAsia" w:ascii="宋体" w:hAnsi="宋体" w:eastAsia="宋体" w:cs="宋体"/>
          <w:b/>
          <w:color w:val="auto"/>
          <w:sz w:val="22"/>
          <w:szCs w:val="22"/>
          <w:highlight w:val="none"/>
        </w:rPr>
        <w:t>磋商文件前附表</w:t>
      </w:r>
      <w:r>
        <w:rPr>
          <w:rFonts w:hint="eastAsia" w:ascii="宋体" w:hAnsi="宋体" w:eastAsia="宋体" w:cs="宋体"/>
          <w:color w:val="auto"/>
          <w:sz w:val="22"/>
          <w:szCs w:val="22"/>
          <w:highlight w:val="none"/>
        </w:rPr>
        <w:t>。</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11.2供应商应持</w:t>
      </w:r>
      <w:r>
        <w:rPr>
          <w:rFonts w:hint="eastAsia" w:ascii="宋体" w:hAnsi="宋体" w:eastAsia="宋体" w:cs="宋体"/>
          <w:b/>
          <w:color w:val="auto"/>
          <w:sz w:val="22"/>
          <w:szCs w:val="22"/>
          <w:highlight w:val="none"/>
        </w:rPr>
        <w:t>磋商文件前附表</w:t>
      </w:r>
      <w:r>
        <w:rPr>
          <w:rFonts w:hint="eastAsia" w:ascii="宋体" w:hAnsi="宋体" w:eastAsia="宋体" w:cs="宋体"/>
          <w:color w:val="auto"/>
          <w:sz w:val="22"/>
          <w:szCs w:val="22"/>
          <w:highlight w:val="none"/>
        </w:rPr>
        <w:t>规定的资料递交磋商文件。</w:t>
      </w:r>
    </w:p>
    <w:p>
      <w:pPr>
        <w:pStyle w:val="20"/>
        <w:pageBreakBefore w:val="0"/>
        <w:kinsoku/>
        <w:wordWrap/>
        <w:overflowPunct/>
        <w:bidi w:val="0"/>
        <w:adjustRightInd w:val="0"/>
        <w:snapToGrid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12.</w:t>
      </w:r>
      <w:r>
        <w:rPr>
          <w:rFonts w:hint="eastAsia" w:ascii="宋体" w:hAnsi="宋体" w:eastAsia="宋体" w:cs="宋体"/>
          <w:b/>
          <w:color w:val="auto"/>
          <w:kern w:val="0"/>
          <w:sz w:val="22"/>
          <w:szCs w:val="22"/>
          <w:highlight w:val="none"/>
        </w:rPr>
        <w:t>提交首次响应文件</w:t>
      </w:r>
      <w:r>
        <w:rPr>
          <w:rFonts w:hint="eastAsia" w:ascii="宋体" w:hAnsi="宋体" w:eastAsia="宋体" w:cs="宋体"/>
          <w:b/>
          <w:color w:val="auto"/>
          <w:sz w:val="22"/>
          <w:szCs w:val="22"/>
          <w:highlight w:val="none"/>
        </w:rPr>
        <w:t>的</w:t>
      </w:r>
      <w:r>
        <w:rPr>
          <w:rFonts w:hint="eastAsia" w:ascii="宋体" w:hAnsi="宋体" w:eastAsia="宋体" w:cs="宋体"/>
          <w:b/>
          <w:color w:val="auto"/>
          <w:kern w:val="0"/>
          <w:sz w:val="22"/>
          <w:szCs w:val="22"/>
          <w:highlight w:val="none"/>
        </w:rPr>
        <w:t>截止</w:t>
      </w:r>
      <w:r>
        <w:rPr>
          <w:rFonts w:hint="eastAsia" w:ascii="宋体" w:hAnsi="宋体" w:eastAsia="宋体" w:cs="宋体"/>
          <w:b/>
          <w:color w:val="auto"/>
          <w:sz w:val="22"/>
          <w:szCs w:val="22"/>
          <w:highlight w:val="none"/>
        </w:rPr>
        <w:t>时间</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w:t>
      </w:r>
      <w:r>
        <w:rPr>
          <w:rFonts w:hint="eastAsia" w:ascii="宋体" w:hAnsi="宋体" w:eastAsia="宋体" w:cs="宋体"/>
          <w:color w:val="auto"/>
          <w:kern w:val="0"/>
          <w:sz w:val="22"/>
          <w:szCs w:val="22"/>
          <w:highlight w:val="none"/>
        </w:rPr>
        <w:t>供应商提交首次响应文件截止</w:t>
      </w:r>
      <w:r>
        <w:rPr>
          <w:rFonts w:hint="eastAsia" w:ascii="宋体" w:hAnsi="宋体" w:eastAsia="宋体" w:cs="宋体"/>
          <w:color w:val="auto"/>
          <w:sz w:val="22"/>
          <w:szCs w:val="22"/>
          <w:highlight w:val="none"/>
        </w:rPr>
        <w:t>时间见</w:t>
      </w:r>
      <w:r>
        <w:rPr>
          <w:rFonts w:hint="eastAsia" w:ascii="宋体" w:hAnsi="宋体" w:eastAsia="宋体" w:cs="宋体"/>
          <w:b/>
          <w:color w:val="auto"/>
          <w:sz w:val="22"/>
          <w:szCs w:val="22"/>
          <w:highlight w:val="none"/>
        </w:rPr>
        <w:t>磋商须知前附表</w:t>
      </w:r>
      <w:r>
        <w:rPr>
          <w:rFonts w:hint="eastAsia" w:ascii="宋体" w:hAnsi="宋体" w:eastAsia="宋体" w:cs="宋体"/>
          <w:color w:val="auto"/>
          <w:sz w:val="22"/>
          <w:szCs w:val="22"/>
          <w:highlight w:val="none"/>
        </w:rPr>
        <w:t>。</w:t>
      </w:r>
    </w:p>
    <w:p>
      <w:pPr>
        <w:pageBreakBefore w:val="0"/>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13.磋商文件的澄清</w:t>
      </w:r>
      <w:r>
        <w:rPr>
          <w:rFonts w:hint="eastAsia" w:ascii="宋体" w:hAnsi="宋体" w:eastAsia="宋体" w:cs="宋体"/>
          <w:b/>
          <w:color w:val="auto"/>
          <w:kern w:val="0"/>
          <w:sz w:val="22"/>
          <w:szCs w:val="22"/>
          <w:highlight w:val="none"/>
          <w:lang w:val="zh-CN"/>
        </w:rPr>
        <w:t>或者</w:t>
      </w:r>
      <w:r>
        <w:rPr>
          <w:rFonts w:hint="eastAsia" w:ascii="宋体" w:hAnsi="宋体" w:eastAsia="宋体" w:cs="宋体"/>
          <w:b/>
          <w:bCs/>
          <w:color w:val="auto"/>
          <w:sz w:val="22"/>
          <w:szCs w:val="22"/>
          <w:highlight w:val="none"/>
        </w:rPr>
        <w:t>修改</w:t>
      </w:r>
    </w:p>
    <w:p>
      <w:pPr>
        <w:pageBreakBefore w:val="0"/>
        <w:kinsoku/>
        <w:wordWrap/>
        <w:overflowPunct/>
        <w:bidi w:val="0"/>
        <w:adjustRightInd w:val="0"/>
        <w:snapToGrid w:val="0"/>
        <w:spacing w:line="360" w:lineRule="auto"/>
        <w:ind w:right="-105" w:rightChars="-5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13.1在</w:t>
      </w:r>
      <w:r>
        <w:rPr>
          <w:rFonts w:hint="eastAsia" w:ascii="宋体" w:hAnsi="宋体" w:eastAsia="宋体" w:cs="宋体"/>
          <w:color w:val="auto"/>
          <w:kern w:val="0"/>
          <w:sz w:val="22"/>
          <w:szCs w:val="22"/>
          <w:highlight w:val="none"/>
        </w:rPr>
        <w:t xml:space="preserve">提交首次响应文件截止之日前，采购人、采购代理机构可以对已发出的磋商文件进行必要的澄清或者修改。 </w:t>
      </w:r>
    </w:p>
    <w:p>
      <w:pPr>
        <w:pageBreakBefore w:val="0"/>
        <w:kinsoku/>
        <w:wordWrap/>
        <w:overflowPunct/>
        <w:bidi w:val="0"/>
        <w:adjustRightInd w:val="0"/>
        <w:snapToGrid w:val="0"/>
        <w:spacing w:line="360" w:lineRule="auto"/>
        <w:ind w:right="-105" w:rightChars="-5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13.2</w:t>
      </w:r>
      <w:r>
        <w:rPr>
          <w:rFonts w:hint="eastAsia" w:ascii="宋体" w:hAnsi="宋体" w:eastAsia="宋体" w:cs="宋体"/>
          <w:color w:val="auto"/>
          <w:kern w:val="0"/>
          <w:sz w:val="22"/>
          <w:szCs w:val="22"/>
          <w:highlight w:val="none"/>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w:t>
      </w:r>
      <w:r>
        <w:rPr>
          <w:rFonts w:hint="eastAsia" w:ascii="宋体" w:hAnsi="宋体" w:eastAsia="宋体" w:cs="宋体"/>
          <w:color w:val="auto"/>
          <w:kern w:val="0"/>
          <w:sz w:val="22"/>
          <w:szCs w:val="22"/>
          <w:highlight w:val="none"/>
        </w:rPr>
        <w:t>提交首次响应文件截止时间前对磋商文件澄清或者修改内容，为磋商文件的组成部分。</w:t>
      </w:r>
    </w:p>
    <w:p>
      <w:pPr>
        <w:pageBreakBefore w:val="0"/>
        <w:kinsoku/>
        <w:wordWrap/>
        <w:overflowPunct/>
        <w:bidi w:val="0"/>
        <w:adjustRightInd w:val="0"/>
        <w:snapToGrid w:val="0"/>
        <w:spacing w:line="360" w:lineRule="auto"/>
        <w:ind w:left="902" w:hanging="1052" w:hangingChars="376"/>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三、响应文件</w:t>
      </w:r>
    </w:p>
    <w:p>
      <w:pPr>
        <w:pageBreakBefore w:val="0"/>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14.一般要求</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14.1 供应商应仔细阅读磋商文件的所有内容，按磋商文件的要求编制响应文件，并保证所提供的全部资料的真实性，以使其响应文件对磋商文件做出实质性的响应。</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14.2 </w:t>
      </w:r>
      <w:r>
        <w:rPr>
          <w:rFonts w:hint="eastAsia" w:ascii="宋体" w:hAnsi="宋体" w:eastAsia="宋体" w:cs="宋体"/>
          <w:color w:val="auto"/>
          <w:sz w:val="22"/>
          <w:szCs w:val="22"/>
          <w:highlight w:val="none"/>
        </w:rPr>
        <w:t>供应商提交的响应文件及供应商与采购人或采购代理机构、磋商小组就有关磋商的所有来往函电均使用中文。供应商可以提交其它语言的资料，但应附中文注释，在有差异时以中文为准。</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 xml:space="preserve">14.3 </w:t>
      </w:r>
      <w:r>
        <w:rPr>
          <w:rFonts w:hint="eastAsia" w:ascii="宋体" w:hAnsi="宋体" w:eastAsia="宋体" w:cs="宋体"/>
          <w:color w:val="auto"/>
          <w:sz w:val="22"/>
          <w:szCs w:val="22"/>
          <w:highlight w:val="none"/>
        </w:rPr>
        <w:t>计量单位应使用我国法定计量单位，未列明时应默认为我国法定计量单位。</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14.4 响应文件应采用书面形式，电报、传真、电子邮件形式的响应文件概不接受。</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14.5 供应商应按磋商文件中提供的响应文件格式填写。</w:t>
      </w:r>
    </w:p>
    <w:p>
      <w:pPr>
        <w:pageBreakBefore w:val="0"/>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15.</w:t>
      </w:r>
      <w:r>
        <w:rPr>
          <w:rFonts w:hint="eastAsia" w:ascii="宋体" w:hAnsi="宋体" w:eastAsia="宋体" w:cs="宋体"/>
          <w:b/>
          <w:color w:val="auto"/>
          <w:sz w:val="22"/>
          <w:szCs w:val="22"/>
          <w:highlight w:val="none"/>
        </w:rPr>
        <w:t>响应文件</w:t>
      </w:r>
      <w:r>
        <w:rPr>
          <w:rFonts w:hint="eastAsia" w:ascii="宋体" w:hAnsi="宋体" w:eastAsia="宋体" w:cs="宋体"/>
          <w:b/>
          <w:bCs/>
          <w:color w:val="auto"/>
          <w:sz w:val="22"/>
          <w:szCs w:val="22"/>
          <w:highlight w:val="none"/>
        </w:rPr>
        <w:t>的组成</w:t>
      </w:r>
    </w:p>
    <w:p>
      <w:pPr>
        <w:pageBreakBefore w:val="0"/>
        <w:kinsoku/>
        <w:wordWrap/>
        <w:overflowPunct/>
        <w:bidi w:val="0"/>
        <w:adjustRightInd w:val="0"/>
        <w:snapToGrid w:val="0"/>
        <w:spacing w:line="360" w:lineRule="auto"/>
        <w:ind w:firstLine="440" w:firstLineChars="200"/>
        <w:jc w:val="left"/>
        <w:textAlignment w:val="auto"/>
        <w:outlineLvl w:val="0"/>
        <w:rPr>
          <w:rFonts w:hint="eastAsia" w:ascii="宋体" w:hAnsi="宋体" w:eastAsia="宋体" w:cs="宋体"/>
          <w:color w:val="auto"/>
          <w:sz w:val="22"/>
          <w:szCs w:val="22"/>
          <w:highlight w:val="none"/>
        </w:rPr>
      </w:pPr>
      <w:r>
        <w:rPr>
          <w:rFonts w:hint="eastAsia" w:ascii="宋体" w:hAnsi="宋体" w:eastAsia="宋体" w:cs="宋体"/>
          <w:color w:val="auto"/>
          <w:sz w:val="22"/>
          <w:szCs w:val="28"/>
          <w:highlight w:val="none"/>
        </w:rPr>
        <w:t>15.1 响应文件包括下列内容：</w:t>
      </w:r>
      <w:r>
        <w:rPr>
          <w:rFonts w:hint="eastAsia" w:ascii="宋体" w:hAnsi="宋体" w:eastAsia="宋体" w:cs="宋体"/>
          <w:color w:val="auto"/>
          <w:sz w:val="22"/>
          <w:szCs w:val="22"/>
          <w:highlight w:val="none"/>
        </w:rPr>
        <w:t xml:space="preserve"> </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（1）磋商响应声明</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（2）保证金</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（3）联合体协议</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（4）供应商的资格证明文件</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（5）货物或服务方案说明</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（6）技术/商务响应与偏离表</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（7）提供享受政府采购政策的证明材料和清单表</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（8）经销或代理或为货物提供售后服务的证明材料</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（9）报价一览表及报价文件</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（10）供应商认为需提供的其他资料</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15.2在磋商过程中，</w:t>
      </w: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8"/>
          <w:highlight w:val="none"/>
        </w:rPr>
        <w:t>根据</w:t>
      </w:r>
      <w:r>
        <w:rPr>
          <w:rFonts w:hint="eastAsia" w:ascii="宋体" w:hAnsi="宋体" w:eastAsia="宋体" w:cs="宋体"/>
          <w:color w:val="auto"/>
          <w:kern w:val="0"/>
          <w:sz w:val="22"/>
          <w:szCs w:val="22"/>
          <w:highlight w:val="none"/>
        </w:rPr>
        <w:t>磋商小组</w:t>
      </w:r>
      <w:r>
        <w:rPr>
          <w:rFonts w:hint="eastAsia" w:ascii="宋体" w:hAnsi="宋体" w:eastAsia="宋体" w:cs="宋体"/>
          <w:bCs/>
          <w:color w:val="auto"/>
          <w:sz w:val="22"/>
          <w:szCs w:val="22"/>
          <w:highlight w:val="none"/>
        </w:rPr>
        <w:t>书面形式要求</w:t>
      </w:r>
      <w:r>
        <w:rPr>
          <w:rFonts w:hint="eastAsia" w:ascii="宋体" w:hAnsi="宋体" w:eastAsia="宋体" w:cs="宋体"/>
          <w:color w:val="auto"/>
          <w:kern w:val="0"/>
          <w:sz w:val="22"/>
          <w:szCs w:val="22"/>
          <w:highlight w:val="none"/>
        </w:rPr>
        <w:t>提交的</w:t>
      </w:r>
      <w:r>
        <w:rPr>
          <w:rFonts w:hint="eastAsia" w:ascii="宋体" w:hAnsi="宋体" w:eastAsia="宋体" w:cs="宋体"/>
          <w:color w:val="auto"/>
          <w:sz w:val="22"/>
          <w:szCs w:val="28"/>
          <w:highlight w:val="none"/>
        </w:rPr>
        <w:t>最后报价(或者</w:t>
      </w:r>
      <w:r>
        <w:rPr>
          <w:rFonts w:hint="eastAsia" w:ascii="宋体" w:hAnsi="宋体" w:eastAsia="宋体" w:cs="宋体"/>
          <w:bCs/>
          <w:color w:val="auto"/>
          <w:sz w:val="22"/>
          <w:szCs w:val="22"/>
          <w:highlight w:val="none"/>
        </w:rPr>
        <w:t>重</w:t>
      </w:r>
      <w:r>
        <w:rPr>
          <w:rFonts w:hint="eastAsia" w:ascii="宋体" w:hAnsi="宋体" w:eastAsia="宋体" w:cs="宋体"/>
          <w:color w:val="auto"/>
          <w:kern w:val="0"/>
          <w:sz w:val="22"/>
          <w:szCs w:val="22"/>
          <w:highlight w:val="none"/>
        </w:rPr>
        <w:t>新提交的响应文件和</w:t>
      </w:r>
      <w:r>
        <w:rPr>
          <w:rFonts w:hint="eastAsia" w:ascii="宋体" w:hAnsi="宋体" w:eastAsia="宋体" w:cs="宋体"/>
          <w:color w:val="auto"/>
          <w:sz w:val="22"/>
          <w:szCs w:val="28"/>
          <w:highlight w:val="none"/>
        </w:rPr>
        <w:t>最后报价)是</w:t>
      </w:r>
      <w:r>
        <w:rPr>
          <w:rFonts w:hint="eastAsia" w:ascii="宋体" w:hAnsi="宋体" w:eastAsia="宋体" w:cs="宋体"/>
          <w:color w:val="auto"/>
          <w:sz w:val="22"/>
          <w:szCs w:val="22"/>
          <w:highlight w:val="none"/>
        </w:rPr>
        <w:t>响应文件</w:t>
      </w:r>
      <w:r>
        <w:rPr>
          <w:rFonts w:hint="eastAsia" w:ascii="宋体" w:hAnsi="宋体" w:eastAsia="宋体" w:cs="宋体"/>
          <w:color w:val="auto"/>
          <w:sz w:val="22"/>
          <w:szCs w:val="28"/>
          <w:highlight w:val="none"/>
        </w:rPr>
        <w:t>的有效组成部分。</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b/>
          <w:color w:val="auto"/>
          <w:sz w:val="22"/>
          <w:szCs w:val="28"/>
          <w:highlight w:val="none"/>
        </w:rPr>
      </w:pPr>
      <w:r>
        <w:rPr>
          <w:rFonts w:hint="eastAsia" w:ascii="宋体" w:hAnsi="宋体" w:eastAsia="宋体" w:cs="宋体"/>
          <w:color w:val="auto"/>
          <w:sz w:val="22"/>
          <w:szCs w:val="28"/>
          <w:highlight w:val="none"/>
        </w:rPr>
        <w:t>15.3</w:t>
      </w:r>
      <w:r>
        <w:rPr>
          <w:rFonts w:hint="eastAsia" w:ascii="宋体" w:hAnsi="宋体" w:eastAsia="宋体" w:cs="宋体"/>
          <w:color w:val="auto"/>
          <w:kern w:val="0"/>
          <w:sz w:val="22"/>
          <w:szCs w:val="22"/>
          <w:highlight w:val="none"/>
        </w:rPr>
        <w:t>磋商文件规定可能发生实质性变动的，供应商应当在</w:t>
      </w:r>
      <w:r>
        <w:rPr>
          <w:rFonts w:hint="eastAsia" w:ascii="宋体" w:hAnsi="宋体" w:eastAsia="宋体" w:cs="宋体"/>
          <w:color w:val="auto"/>
          <w:sz w:val="22"/>
          <w:szCs w:val="28"/>
          <w:highlight w:val="none"/>
        </w:rPr>
        <w:t>《技术/商务响应与偏离表》中对应内容注明。</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8"/>
          <w:highlight w:val="none"/>
        </w:rPr>
        <w:t>15.4</w:t>
      </w:r>
      <w:r>
        <w:rPr>
          <w:rFonts w:hint="eastAsia" w:ascii="宋体" w:hAnsi="宋体" w:eastAsia="宋体" w:cs="宋体"/>
          <w:color w:val="auto"/>
          <w:sz w:val="22"/>
          <w:szCs w:val="22"/>
          <w:highlight w:val="none"/>
        </w:rPr>
        <w:t>根据《政府采购法》第四十二条的规定，供应商无论成交与否，其响应文件不予退还。</w:t>
      </w:r>
    </w:p>
    <w:p>
      <w:pPr>
        <w:pageBreakBefore w:val="0"/>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16.报价</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16.1供应商应当根据磋商文件要求和范围，以</w:t>
      </w:r>
      <w:r>
        <w:rPr>
          <w:rFonts w:hint="eastAsia" w:ascii="宋体" w:hAnsi="宋体" w:eastAsia="宋体" w:cs="宋体"/>
          <w:bCs/>
          <w:color w:val="auto"/>
          <w:sz w:val="22"/>
          <w:szCs w:val="22"/>
          <w:highlight w:val="none"/>
        </w:rPr>
        <w:t>人民币</w:t>
      </w:r>
      <w:r>
        <w:rPr>
          <w:rFonts w:hint="eastAsia" w:ascii="宋体" w:hAnsi="宋体" w:eastAsia="宋体" w:cs="宋体"/>
          <w:color w:val="auto"/>
          <w:sz w:val="22"/>
          <w:szCs w:val="22"/>
          <w:highlight w:val="none"/>
        </w:rPr>
        <w:t>报价，以元为单位，保留小数点后两位。</w:t>
      </w:r>
    </w:p>
    <w:p>
      <w:pPr>
        <w:pStyle w:val="51"/>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16.2供应商应按第五章 响应文件组成格式填写。</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16.3响应文件中标明的价格在合同执行过程中是固定不变的，不得以任何理由予以变更。以可变动价格提交的报价将被认为是非实质响应而被拒绝。</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16.4</w:t>
      </w:r>
      <w:r>
        <w:rPr>
          <w:rFonts w:hint="eastAsia" w:ascii="宋体" w:hAnsi="宋体" w:eastAsia="宋体" w:cs="宋体"/>
          <w:color w:val="auto"/>
          <w:kern w:val="0"/>
          <w:sz w:val="22"/>
          <w:szCs w:val="22"/>
          <w:highlight w:val="none"/>
          <w:lang w:val="zh-CN"/>
        </w:rPr>
        <w:t>供应商</w:t>
      </w:r>
      <w:r>
        <w:rPr>
          <w:rFonts w:hint="eastAsia" w:ascii="宋体" w:hAnsi="宋体" w:eastAsia="宋体" w:cs="宋体"/>
          <w:color w:val="auto"/>
          <w:sz w:val="22"/>
          <w:szCs w:val="22"/>
          <w:highlight w:val="none"/>
        </w:rPr>
        <w:t>的报价不得超过采购项目预算，采购项目预算或其计算方法见</w:t>
      </w:r>
      <w:r>
        <w:rPr>
          <w:rFonts w:hint="eastAsia" w:ascii="宋体" w:hAnsi="宋体" w:eastAsia="宋体" w:cs="宋体"/>
          <w:b/>
          <w:color w:val="auto"/>
          <w:sz w:val="22"/>
          <w:szCs w:val="22"/>
          <w:highlight w:val="none"/>
        </w:rPr>
        <w:t>磋商须知前附表</w:t>
      </w:r>
      <w:r>
        <w:rPr>
          <w:rFonts w:hint="eastAsia" w:ascii="宋体" w:hAnsi="宋体" w:eastAsia="宋体" w:cs="宋体"/>
          <w:color w:val="auto"/>
          <w:sz w:val="22"/>
          <w:szCs w:val="22"/>
          <w:highlight w:val="none"/>
        </w:rPr>
        <w:t>。</w:t>
      </w:r>
    </w:p>
    <w:p>
      <w:pPr>
        <w:pStyle w:val="20"/>
        <w:pageBreakBefore w:val="0"/>
        <w:kinsoku/>
        <w:wordWrap/>
        <w:overflowPunct/>
        <w:bidi w:val="0"/>
        <w:adjustRightInd w:val="0"/>
        <w:snapToGrid w:val="0"/>
        <w:spacing w:line="360" w:lineRule="auto"/>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17.供应商符合磋商文件规定的证明文件</w:t>
      </w:r>
    </w:p>
    <w:p>
      <w:pPr>
        <w:pageBreakBefore w:val="0"/>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17.1供应商应提交满足本章第3.1款规定的资格条件要求的证明文件,该证明文件作为响应文件的一部分。</w:t>
      </w:r>
    </w:p>
    <w:p>
      <w:pPr>
        <w:pageBreakBefore w:val="0"/>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17.2如果供应商为联合体，则应提交联合体各方资格证明文件、联合体协议。否则，在评审时将其视为无效响应。</w:t>
      </w:r>
    </w:p>
    <w:p>
      <w:pPr>
        <w:pageBreakBefore w:val="0"/>
        <w:kinsoku/>
        <w:wordWrap/>
        <w:overflowPunct/>
        <w:bidi w:val="0"/>
        <w:adjustRightInd w:val="0"/>
        <w:snapToGrid w:val="0"/>
        <w:spacing w:before="156" w:beforeLines="50"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17.3 除</w:t>
      </w:r>
      <w:r>
        <w:rPr>
          <w:rFonts w:hint="eastAsia" w:ascii="宋体" w:hAnsi="宋体" w:eastAsia="宋体" w:cs="宋体"/>
          <w:b/>
          <w:color w:val="auto"/>
          <w:sz w:val="22"/>
          <w:szCs w:val="22"/>
          <w:highlight w:val="none"/>
        </w:rPr>
        <w:t>磋商须知前附表</w:t>
      </w:r>
      <w:r>
        <w:rPr>
          <w:rFonts w:hint="eastAsia" w:ascii="宋体" w:hAnsi="宋体" w:eastAsia="宋体" w:cs="宋体"/>
          <w:color w:val="auto"/>
          <w:sz w:val="22"/>
          <w:szCs w:val="22"/>
          <w:highlight w:val="none"/>
        </w:rPr>
        <w:t>另有规定外，供应商提供的货物及服务不是供应商制造或拥有的，则必须提供经销、或代理采购货物、或采购货物提供售后服务的证明文件。</w:t>
      </w:r>
    </w:p>
    <w:p>
      <w:pPr>
        <w:pageBreakBefore w:val="0"/>
        <w:kinsoku/>
        <w:wordWrap/>
        <w:overflowPunct/>
        <w:bidi w:val="0"/>
        <w:adjustRightInd w:val="0"/>
        <w:snapToGrid w:val="0"/>
        <w:spacing w:before="156" w:beforeLines="50" w:line="360" w:lineRule="auto"/>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18．样品提供</w:t>
      </w:r>
    </w:p>
    <w:p>
      <w:pPr>
        <w:pageBreakBefore w:val="0"/>
        <w:kinsoku/>
        <w:wordWrap/>
        <w:overflowPunct/>
        <w:bidi w:val="0"/>
        <w:adjustRightInd w:val="0"/>
        <w:snapToGrid w:val="0"/>
        <w:spacing w:before="156" w:beforeLines="50"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18.1 </w:t>
      </w:r>
      <w:r>
        <w:rPr>
          <w:rFonts w:hint="eastAsia" w:ascii="宋体" w:hAnsi="宋体" w:eastAsia="宋体" w:cs="宋体"/>
          <w:b/>
          <w:color w:val="auto"/>
          <w:sz w:val="22"/>
          <w:szCs w:val="28"/>
          <w:highlight w:val="none"/>
        </w:rPr>
        <w:t>磋商须知前附表</w:t>
      </w:r>
      <w:r>
        <w:rPr>
          <w:rFonts w:hint="eastAsia" w:ascii="宋体" w:hAnsi="宋体" w:eastAsia="宋体" w:cs="宋体"/>
          <w:color w:val="auto"/>
          <w:sz w:val="22"/>
          <w:szCs w:val="22"/>
          <w:highlight w:val="none"/>
        </w:rPr>
        <w:t>规定</w:t>
      </w:r>
      <w:r>
        <w:rPr>
          <w:rFonts w:hint="eastAsia" w:ascii="宋体" w:hAnsi="宋体" w:eastAsia="宋体" w:cs="宋体"/>
          <w:bCs/>
          <w:color w:val="auto"/>
          <w:sz w:val="22"/>
          <w:szCs w:val="28"/>
          <w:highlight w:val="none"/>
        </w:rPr>
        <w:t>供应商</w:t>
      </w:r>
      <w:r>
        <w:rPr>
          <w:rFonts w:hint="eastAsia" w:ascii="宋体" w:hAnsi="宋体" w:eastAsia="宋体" w:cs="宋体"/>
          <w:color w:val="auto"/>
          <w:sz w:val="22"/>
          <w:szCs w:val="22"/>
          <w:highlight w:val="none"/>
        </w:rPr>
        <w:t>在</w:t>
      </w:r>
      <w:r>
        <w:rPr>
          <w:rFonts w:hint="eastAsia" w:ascii="宋体" w:hAnsi="宋体" w:eastAsia="宋体" w:cs="宋体"/>
          <w:color w:val="auto"/>
          <w:sz w:val="22"/>
          <w:szCs w:val="28"/>
          <w:highlight w:val="none"/>
        </w:rPr>
        <w:t>磋商</w:t>
      </w:r>
      <w:r>
        <w:rPr>
          <w:rFonts w:hint="eastAsia" w:ascii="宋体" w:hAnsi="宋体" w:eastAsia="宋体" w:cs="宋体"/>
          <w:color w:val="auto"/>
          <w:sz w:val="22"/>
          <w:szCs w:val="22"/>
          <w:highlight w:val="none"/>
        </w:rPr>
        <w:t>时提供样品的，</w:t>
      </w:r>
      <w:r>
        <w:rPr>
          <w:rFonts w:hint="eastAsia" w:ascii="宋体" w:hAnsi="宋体" w:eastAsia="宋体" w:cs="宋体"/>
          <w:bCs/>
          <w:color w:val="auto"/>
          <w:sz w:val="22"/>
          <w:szCs w:val="28"/>
          <w:highlight w:val="none"/>
        </w:rPr>
        <w:t>供应商</w:t>
      </w:r>
      <w:r>
        <w:rPr>
          <w:rFonts w:hint="eastAsia" w:ascii="宋体" w:hAnsi="宋体" w:eastAsia="宋体" w:cs="宋体"/>
          <w:color w:val="auto"/>
          <w:sz w:val="22"/>
          <w:szCs w:val="22"/>
          <w:highlight w:val="none"/>
        </w:rPr>
        <w:t>有以下情形之一的，在评审时将其视为无效响应。</w:t>
      </w:r>
    </w:p>
    <w:p>
      <w:pPr>
        <w:pageBreakBefore w:val="0"/>
        <w:kinsoku/>
        <w:wordWrap/>
        <w:overflowPunct/>
        <w:bidi w:val="0"/>
        <w:adjustRightInd w:val="0"/>
        <w:snapToGrid w:val="0"/>
        <w:spacing w:before="156" w:beforeLines="50"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（1）未在</w:t>
      </w:r>
      <w:r>
        <w:rPr>
          <w:rFonts w:hint="eastAsia" w:ascii="宋体" w:hAnsi="宋体" w:eastAsia="宋体" w:cs="宋体"/>
          <w:b/>
          <w:color w:val="auto"/>
          <w:sz w:val="22"/>
          <w:szCs w:val="28"/>
          <w:highlight w:val="none"/>
        </w:rPr>
        <w:t>磋商须知前附表</w:t>
      </w:r>
      <w:r>
        <w:rPr>
          <w:rFonts w:hint="eastAsia" w:ascii="宋体" w:hAnsi="宋体" w:eastAsia="宋体" w:cs="宋体"/>
          <w:color w:val="auto"/>
          <w:sz w:val="22"/>
          <w:szCs w:val="22"/>
          <w:highlight w:val="none"/>
        </w:rPr>
        <w:t>规定的提交时间、地点提交的；</w:t>
      </w:r>
    </w:p>
    <w:p>
      <w:pPr>
        <w:pageBreakBefore w:val="0"/>
        <w:kinsoku/>
        <w:wordWrap/>
        <w:overflowPunct/>
        <w:bidi w:val="0"/>
        <w:adjustRightInd w:val="0"/>
        <w:snapToGrid w:val="0"/>
        <w:spacing w:before="156" w:beforeLines="50"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bCs/>
          <w:color w:val="auto"/>
          <w:sz w:val="22"/>
          <w:szCs w:val="28"/>
          <w:highlight w:val="none"/>
        </w:rPr>
        <w:t>供应商</w:t>
      </w:r>
      <w:r>
        <w:rPr>
          <w:rFonts w:hint="eastAsia" w:ascii="宋体" w:hAnsi="宋体" w:eastAsia="宋体" w:cs="宋体"/>
          <w:color w:val="auto"/>
          <w:sz w:val="22"/>
          <w:szCs w:val="22"/>
          <w:highlight w:val="none"/>
        </w:rPr>
        <w:t>提供的样品与磋商文件中要求提供样品的型号、规格不一致的。</w:t>
      </w:r>
    </w:p>
    <w:p>
      <w:pPr>
        <w:pageBreakBefore w:val="0"/>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19.</w:t>
      </w:r>
      <w:r>
        <w:rPr>
          <w:rFonts w:hint="eastAsia" w:ascii="宋体" w:hAnsi="宋体" w:eastAsia="宋体" w:cs="宋体"/>
          <w:color w:val="auto"/>
          <w:sz w:val="22"/>
          <w:szCs w:val="28"/>
          <w:highlight w:val="none"/>
        </w:rPr>
        <w:t xml:space="preserve"> </w:t>
      </w:r>
      <w:r>
        <w:rPr>
          <w:rFonts w:hint="eastAsia" w:ascii="宋体" w:hAnsi="宋体" w:eastAsia="宋体" w:cs="宋体"/>
          <w:b/>
          <w:bCs/>
          <w:color w:val="auto"/>
          <w:sz w:val="22"/>
          <w:szCs w:val="22"/>
          <w:highlight w:val="none"/>
        </w:rPr>
        <w:t>磋商保证金</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19.1</w:t>
      </w:r>
      <w:r>
        <w:rPr>
          <w:rFonts w:hint="eastAsia" w:ascii="宋体" w:hAnsi="宋体" w:eastAsia="宋体" w:cs="宋体"/>
          <w:b/>
          <w:color w:val="auto"/>
          <w:sz w:val="22"/>
          <w:szCs w:val="22"/>
          <w:highlight w:val="none"/>
        </w:rPr>
        <w:t>磋商须知前附表</w:t>
      </w:r>
      <w:r>
        <w:rPr>
          <w:rFonts w:hint="eastAsia" w:ascii="宋体" w:hAnsi="宋体" w:eastAsia="宋体" w:cs="宋体"/>
          <w:color w:val="auto"/>
          <w:sz w:val="22"/>
          <w:szCs w:val="22"/>
          <w:highlight w:val="none"/>
        </w:rPr>
        <w:t>规定交纳磋商</w:t>
      </w:r>
      <w:r>
        <w:rPr>
          <w:rFonts w:hint="eastAsia" w:ascii="宋体" w:hAnsi="宋体" w:eastAsia="宋体" w:cs="宋体"/>
          <w:bCs/>
          <w:color w:val="auto"/>
          <w:sz w:val="22"/>
          <w:szCs w:val="22"/>
          <w:highlight w:val="none"/>
        </w:rPr>
        <w:t>保证金的</w:t>
      </w:r>
      <w:r>
        <w:rPr>
          <w:rFonts w:hint="eastAsia" w:ascii="宋体" w:hAnsi="宋体" w:eastAsia="宋体" w:cs="宋体"/>
          <w:color w:val="auto"/>
          <w:sz w:val="22"/>
          <w:szCs w:val="22"/>
          <w:highlight w:val="none"/>
        </w:rPr>
        <w:t>，应按</w:t>
      </w:r>
      <w:r>
        <w:rPr>
          <w:rFonts w:hint="eastAsia" w:ascii="宋体" w:hAnsi="宋体" w:eastAsia="宋体" w:cs="宋体"/>
          <w:b/>
          <w:color w:val="auto"/>
          <w:sz w:val="22"/>
          <w:szCs w:val="22"/>
          <w:highlight w:val="none"/>
        </w:rPr>
        <w:t>磋商须知前附表</w:t>
      </w:r>
      <w:r>
        <w:rPr>
          <w:rFonts w:hint="eastAsia" w:ascii="宋体" w:hAnsi="宋体" w:eastAsia="宋体" w:cs="宋体"/>
          <w:color w:val="auto"/>
          <w:sz w:val="22"/>
          <w:szCs w:val="22"/>
          <w:highlight w:val="none"/>
        </w:rPr>
        <w:t>规定的磋商</w:t>
      </w:r>
      <w:r>
        <w:rPr>
          <w:rFonts w:hint="eastAsia" w:ascii="宋体" w:hAnsi="宋体" w:eastAsia="宋体" w:cs="宋体"/>
          <w:bCs/>
          <w:color w:val="auto"/>
          <w:sz w:val="22"/>
          <w:szCs w:val="22"/>
          <w:highlight w:val="none"/>
        </w:rPr>
        <w:t>保证金形式交纳，不得以现金方式交纳</w:t>
      </w:r>
      <w:r>
        <w:rPr>
          <w:rFonts w:hint="eastAsia" w:ascii="宋体" w:hAnsi="宋体" w:eastAsia="宋体" w:cs="宋体"/>
          <w:color w:val="auto"/>
          <w:sz w:val="22"/>
          <w:szCs w:val="22"/>
          <w:highlight w:val="none"/>
        </w:rPr>
        <w:t>，在</w:t>
      </w:r>
      <w:r>
        <w:rPr>
          <w:rFonts w:hint="eastAsia" w:ascii="宋体" w:hAnsi="宋体" w:eastAsia="宋体" w:cs="宋体"/>
          <w:color w:val="auto"/>
          <w:kern w:val="0"/>
          <w:sz w:val="22"/>
          <w:szCs w:val="22"/>
          <w:highlight w:val="none"/>
        </w:rPr>
        <w:t>提交首次响应文件截止时间</w:t>
      </w:r>
      <w:r>
        <w:rPr>
          <w:rFonts w:hint="eastAsia" w:ascii="宋体" w:hAnsi="宋体" w:eastAsia="宋体" w:cs="宋体"/>
          <w:color w:val="auto"/>
          <w:sz w:val="22"/>
          <w:szCs w:val="22"/>
          <w:highlight w:val="none"/>
        </w:rPr>
        <w:t>前，</w:t>
      </w:r>
      <w:r>
        <w:rPr>
          <w:rFonts w:hint="eastAsia" w:ascii="宋体" w:hAnsi="宋体" w:eastAsia="宋体" w:cs="宋体"/>
          <w:bCs/>
          <w:color w:val="auto"/>
          <w:sz w:val="22"/>
          <w:szCs w:val="22"/>
          <w:highlight w:val="none"/>
        </w:rPr>
        <w:t>向采购代理机构交纳不超过</w:t>
      </w:r>
      <w:r>
        <w:rPr>
          <w:rFonts w:hint="eastAsia" w:ascii="宋体" w:hAnsi="宋体" w:eastAsia="宋体" w:cs="宋体"/>
          <w:color w:val="auto"/>
          <w:kern w:val="0"/>
          <w:sz w:val="22"/>
          <w:szCs w:val="22"/>
          <w:highlight w:val="none"/>
          <w:lang w:val="zh-CN"/>
        </w:rPr>
        <w:t>采购项目预算2﹪</w:t>
      </w:r>
      <w:r>
        <w:rPr>
          <w:rFonts w:hint="eastAsia" w:ascii="宋体" w:hAnsi="宋体" w:eastAsia="宋体" w:cs="宋体"/>
          <w:bCs/>
          <w:color w:val="auto"/>
          <w:sz w:val="22"/>
          <w:szCs w:val="22"/>
          <w:highlight w:val="none"/>
        </w:rPr>
        <w:t>的磋商保证金(数额采用四舍五入，计算至元)</w:t>
      </w:r>
      <w:r>
        <w:rPr>
          <w:rFonts w:hint="eastAsia" w:ascii="宋体" w:hAnsi="宋体" w:eastAsia="宋体" w:cs="宋体"/>
          <w:color w:val="auto"/>
          <w:sz w:val="22"/>
          <w:szCs w:val="22"/>
          <w:highlight w:val="none"/>
        </w:rPr>
        <w:t>。磋商</w:t>
      </w:r>
      <w:r>
        <w:rPr>
          <w:rFonts w:hint="eastAsia" w:ascii="宋体" w:hAnsi="宋体" w:eastAsia="宋体" w:cs="宋体"/>
          <w:bCs/>
          <w:color w:val="auto"/>
          <w:sz w:val="22"/>
          <w:szCs w:val="22"/>
          <w:highlight w:val="none"/>
        </w:rPr>
        <w:t>保证金有效期应当与</w:t>
      </w:r>
      <w:r>
        <w:rPr>
          <w:rFonts w:hint="eastAsia" w:ascii="宋体" w:hAnsi="宋体" w:eastAsia="宋体" w:cs="宋体"/>
          <w:color w:val="auto"/>
          <w:sz w:val="22"/>
          <w:szCs w:val="22"/>
          <w:highlight w:val="none"/>
        </w:rPr>
        <w:t>本章第20.1</w:t>
      </w:r>
      <w:r>
        <w:rPr>
          <w:rFonts w:hint="eastAsia" w:ascii="宋体" w:hAnsi="宋体" w:eastAsia="宋体" w:cs="宋体"/>
          <w:color w:val="auto"/>
          <w:kern w:val="0"/>
          <w:sz w:val="22"/>
          <w:szCs w:val="22"/>
          <w:highlight w:val="none"/>
          <w:lang w:val="zh-CN"/>
        </w:rPr>
        <w:t>款</w:t>
      </w:r>
      <w:r>
        <w:rPr>
          <w:rFonts w:hint="eastAsia" w:ascii="宋体" w:hAnsi="宋体" w:eastAsia="宋体" w:cs="宋体"/>
          <w:color w:val="auto"/>
          <w:sz w:val="22"/>
          <w:szCs w:val="22"/>
          <w:highlight w:val="none"/>
        </w:rPr>
        <w:t>规定的</w:t>
      </w:r>
      <w:r>
        <w:rPr>
          <w:rFonts w:hint="eastAsia" w:ascii="宋体" w:hAnsi="宋体" w:eastAsia="宋体" w:cs="宋体"/>
          <w:bCs/>
          <w:color w:val="auto"/>
          <w:sz w:val="22"/>
          <w:szCs w:val="22"/>
          <w:highlight w:val="none"/>
        </w:rPr>
        <w:t>响应文件有效期一致。</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19.2</w:t>
      </w:r>
      <w:r>
        <w:rPr>
          <w:rFonts w:hint="eastAsia" w:ascii="宋体" w:hAnsi="宋体" w:eastAsia="宋体" w:cs="宋体"/>
          <w:color w:val="auto"/>
          <w:kern w:val="0"/>
          <w:sz w:val="22"/>
          <w:szCs w:val="22"/>
          <w:highlight w:val="none"/>
          <w:lang w:val="zh-CN"/>
        </w:rPr>
        <w:t>供应商为联合体的，可以由联合体中的一方或者共同交纳磋商保证金，其交纳的磋商保证金，对联合体各方均具有约束力。</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19.3供应商未按照磋商文件要求提交磋商保证金的，响应无效。</w:t>
      </w:r>
    </w:p>
    <w:p>
      <w:pPr>
        <w:pStyle w:val="20"/>
        <w:pageBreakBefore w:val="0"/>
        <w:tabs>
          <w:tab w:val="left" w:pos="6300"/>
        </w:tabs>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19.4采购代理机构在成交通知书发出后5个工作日内退还未成交供应商的磋商保证金；在采购合同签定后5个工作日内退还成交供应商的磋商保证金，但因供应商自身原因导致无法及时退还的除外。</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 xml:space="preserve">19.5 </w:t>
      </w:r>
      <w:r>
        <w:rPr>
          <w:rFonts w:hint="eastAsia" w:ascii="宋体" w:hAnsi="宋体" w:eastAsia="宋体" w:cs="宋体"/>
          <w:color w:val="auto"/>
          <w:kern w:val="0"/>
          <w:sz w:val="22"/>
          <w:szCs w:val="22"/>
          <w:highlight w:val="none"/>
        </w:rPr>
        <w:t>有下列情形之一的，磋商保证金不予退还，并上缴本级财政国库：</w:t>
      </w:r>
    </w:p>
    <w:p>
      <w:pPr>
        <w:pageBreakBefore w:val="0"/>
        <w:widowControl/>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（1）供应商在提交首次响应文件截止时间后撤回响应文件的；</w:t>
      </w:r>
    </w:p>
    <w:p>
      <w:pPr>
        <w:pageBreakBefore w:val="0"/>
        <w:widowControl/>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8"/>
          <w:highlight w:val="none"/>
        </w:rPr>
      </w:pPr>
      <w:r>
        <w:rPr>
          <w:rFonts w:hint="eastAsia" w:ascii="宋体" w:hAnsi="宋体" w:eastAsia="宋体" w:cs="宋体"/>
          <w:color w:val="auto"/>
          <w:kern w:val="0"/>
          <w:sz w:val="22"/>
          <w:szCs w:val="28"/>
          <w:highlight w:val="none"/>
        </w:rPr>
        <w:t>（2）供应商在响应文件中提供虚假资料的；</w:t>
      </w:r>
    </w:p>
    <w:p>
      <w:pPr>
        <w:pageBreakBefore w:val="0"/>
        <w:widowControl/>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8"/>
          <w:highlight w:val="none"/>
        </w:rPr>
        <w:t>（3）</w:t>
      </w:r>
      <w:r>
        <w:rPr>
          <w:rFonts w:hint="eastAsia" w:ascii="宋体" w:hAnsi="宋体" w:eastAsia="宋体" w:cs="宋体"/>
          <w:color w:val="auto"/>
          <w:sz w:val="22"/>
          <w:szCs w:val="28"/>
          <w:highlight w:val="none"/>
        </w:rPr>
        <w:t>确定成交结果后，无正当理由放弃成交资格的；</w:t>
      </w:r>
    </w:p>
    <w:p>
      <w:pPr>
        <w:pageBreakBefore w:val="0"/>
        <w:widowControl/>
        <w:kinsoku/>
        <w:wordWrap/>
        <w:overflowPunct/>
        <w:bidi w:val="0"/>
        <w:adjustRightInd w:val="0"/>
        <w:snapToGrid w:val="0"/>
        <w:spacing w:line="360" w:lineRule="auto"/>
        <w:ind w:firstLine="550" w:firstLineChars="25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 除因不可抗力或磋商文件认可的情形以外，成交供应商不与采购人签订合同的；</w:t>
      </w:r>
    </w:p>
    <w:p>
      <w:pPr>
        <w:pageBreakBefore w:val="0"/>
        <w:widowControl/>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（5）供应商与采购人、其他供应商或者采购代理机构恶意串通的；</w:t>
      </w:r>
    </w:p>
    <w:p>
      <w:pPr>
        <w:pageBreakBefore w:val="0"/>
        <w:widowControl/>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（6）磋商文件规定的其他情形。</w:t>
      </w:r>
    </w:p>
    <w:p>
      <w:pPr>
        <w:pageBreakBefore w:val="0"/>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20.</w:t>
      </w:r>
      <w:r>
        <w:rPr>
          <w:rFonts w:hint="eastAsia" w:ascii="宋体" w:hAnsi="宋体" w:eastAsia="宋体" w:cs="宋体"/>
          <w:color w:val="auto"/>
          <w:sz w:val="22"/>
          <w:szCs w:val="22"/>
          <w:highlight w:val="none"/>
        </w:rPr>
        <w:t xml:space="preserve"> </w:t>
      </w:r>
      <w:r>
        <w:rPr>
          <w:rFonts w:hint="eastAsia" w:ascii="宋体" w:hAnsi="宋体" w:eastAsia="宋体" w:cs="宋体"/>
          <w:b/>
          <w:color w:val="auto"/>
          <w:sz w:val="22"/>
          <w:szCs w:val="28"/>
          <w:highlight w:val="none"/>
        </w:rPr>
        <w:t>响应文件</w:t>
      </w:r>
      <w:r>
        <w:rPr>
          <w:rFonts w:hint="eastAsia" w:ascii="宋体" w:hAnsi="宋体" w:eastAsia="宋体" w:cs="宋体"/>
          <w:b/>
          <w:color w:val="auto"/>
          <w:sz w:val="22"/>
          <w:szCs w:val="22"/>
          <w:highlight w:val="none"/>
        </w:rPr>
        <w:t>有效期</w:t>
      </w:r>
    </w:p>
    <w:p>
      <w:pPr>
        <w:pageBreakBefore w:val="0"/>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20.1响应文件</w:t>
      </w:r>
      <w:r>
        <w:rPr>
          <w:rFonts w:hint="eastAsia" w:ascii="宋体" w:hAnsi="宋体" w:eastAsia="宋体" w:cs="宋体"/>
          <w:color w:val="auto"/>
          <w:sz w:val="22"/>
          <w:szCs w:val="22"/>
          <w:highlight w:val="none"/>
        </w:rPr>
        <w:t>有效期见</w:t>
      </w:r>
      <w:r>
        <w:rPr>
          <w:rFonts w:hint="eastAsia" w:ascii="宋体" w:hAnsi="宋体" w:eastAsia="宋体" w:cs="宋体"/>
          <w:b/>
          <w:color w:val="auto"/>
          <w:sz w:val="22"/>
          <w:szCs w:val="28"/>
          <w:highlight w:val="none"/>
        </w:rPr>
        <w:t>磋商须知前附表</w:t>
      </w:r>
      <w:r>
        <w:rPr>
          <w:rFonts w:hint="eastAsia" w:ascii="宋体" w:hAnsi="宋体" w:eastAsia="宋体" w:cs="宋体"/>
          <w:color w:val="auto"/>
          <w:sz w:val="22"/>
          <w:szCs w:val="22"/>
          <w:highlight w:val="none"/>
        </w:rPr>
        <w:t>，在此期间</w:t>
      </w:r>
      <w:r>
        <w:rPr>
          <w:rFonts w:hint="eastAsia" w:ascii="宋体" w:hAnsi="宋体" w:eastAsia="宋体" w:cs="宋体"/>
          <w:color w:val="auto"/>
          <w:sz w:val="22"/>
          <w:szCs w:val="28"/>
          <w:highlight w:val="none"/>
        </w:rPr>
        <w:t>响应</w:t>
      </w:r>
      <w:r>
        <w:rPr>
          <w:rFonts w:hint="eastAsia" w:ascii="宋体" w:hAnsi="宋体" w:eastAsia="宋体" w:cs="宋体"/>
          <w:color w:val="auto"/>
          <w:sz w:val="22"/>
          <w:szCs w:val="22"/>
          <w:highlight w:val="none"/>
        </w:rPr>
        <w:t>文件对供应商具有法律约束力，</w:t>
      </w:r>
      <w:r>
        <w:rPr>
          <w:rFonts w:hint="eastAsia" w:ascii="宋体" w:hAnsi="宋体" w:eastAsia="宋体" w:cs="宋体"/>
          <w:color w:val="auto"/>
          <w:sz w:val="22"/>
          <w:szCs w:val="28"/>
          <w:highlight w:val="none"/>
        </w:rPr>
        <w:t>从</w:t>
      </w:r>
      <w:r>
        <w:rPr>
          <w:rFonts w:hint="eastAsia" w:ascii="宋体" w:hAnsi="宋体" w:eastAsia="宋体" w:cs="宋体"/>
          <w:color w:val="auto"/>
          <w:kern w:val="0"/>
          <w:sz w:val="22"/>
          <w:szCs w:val="22"/>
          <w:highlight w:val="none"/>
        </w:rPr>
        <w:t>提交首次响应文件截止时间</w:t>
      </w:r>
      <w:r>
        <w:rPr>
          <w:rFonts w:hint="eastAsia" w:ascii="宋体" w:hAnsi="宋体" w:eastAsia="宋体" w:cs="宋体"/>
          <w:color w:val="auto"/>
          <w:sz w:val="22"/>
          <w:szCs w:val="28"/>
          <w:highlight w:val="none"/>
        </w:rPr>
        <w:t>之日起计算。响应文件有效期不足的将被视为无效响应。</w:t>
      </w:r>
    </w:p>
    <w:p>
      <w:pPr>
        <w:pageBreakBefore w:val="0"/>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21.响应文件的签署及规定</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21.1响应文件的正本和副本应装订成册，正本一份，副本份数见</w:t>
      </w:r>
      <w:r>
        <w:rPr>
          <w:rFonts w:hint="eastAsia" w:ascii="宋体" w:hAnsi="宋体" w:eastAsia="宋体" w:cs="宋体"/>
          <w:b/>
          <w:color w:val="auto"/>
          <w:sz w:val="22"/>
          <w:szCs w:val="22"/>
          <w:highlight w:val="none"/>
        </w:rPr>
        <w:t>磋商须知前附表</w:t>
      </w:r>
      <w:r>
        <w:rPr>
          <w:rFonts w:hint="eastAsia" w:ascii="宋体" w:hAnsi="宋体" w:eastAsia="宋体" w:cs="宋体"/>
          <w:color w:val="auto"/>
          <w:sz w:val="22"/>
          <w:szCs w:val="22"/>
          <w:highlight w:val="none"/>
        </w:rPr>
        <w:t>。正本和副本的封面上应标记“正本”或“副本”的字样，当正本和副本有差异时，以正本为准。</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21.2 响应文件正本和副本应按磋商文件要求签章处盖单位章和由法定代表人或其委托代理人签字；任何加行、涂改、增删，应有法定代表人或其委托代理人在旁边签字。否则，将导致响应文件无效。</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21.3 在磋商过程中，供应商按磋商文件规定和磋商小组要求</w:t>
      </w:r>
      <w:r>
        <w:rPr>
          <w:rFonts w:hint="eastAsia" w:ascii="宋体" w:hAnsi="宋体" w:eastAsia="宋体" w:cs="宋体"/>
          <w:color w:val="auto"/>
          <w:kern w:val="0"/>
          <w:sz w:val="22"/>
          <w:szCs w:val="22"/>
          <w:highlight w:val="none"/>
        </w:rPr>
        <w:t>提交的</w:t>
      </w:r>
      <w:r>
        <w:rPr>
          <w:rFonts w:hint="eastAsia" w:ascii="宋体" w:hAnsi="宋体" w:eastAsia="宋体" w:cs="宋体"/>
          <w:color w:val="auto"/>
          <w:sz w:val="22"/>
          <w:szCs w:val="22"/>
          <w:highlight w:val="none"/>
        </w:rPr>
        <w:t>最后报价(或者</w:t>
      </w:r>
      <w:r>
        <w:rPr>
          <w:rFonts w:hint="eastAsia" w:ascii="宋体" w:hAnsi="宋体" w:eastAsia="宋体" w:cs="宋体"/>
          <w:bCs/>
          <w:color w:val="auto"/>
          <w:sz w:val="22"/>
          <w:szCs w:val="22"/>
          <w:highlight w:val="none"/>
        </w:rPr>
        <w:t>重</w:t>
      </w:r>
      <w:r>
        <w:rPr>
          <w:rFonts w:hint="eastAsia" w:ascii="宋体" w:hAnsi="宋体" w:eastAsia="宋体" w:cs="宋体"/>
          <w:color w:val="auto"/>
          <w:kern w:val="0"/>
          <w:sz w:val="22"/>
          <w:szCs w:val="22"/>
          <w:highlight w:val="none"/>
        </w:rPr>
        <w:t>新提交的响应文件和</w:t>
      </w:r>
      <w:r>
        <w:rPr>
          <w:rFonts w:hint="eastAsia" w:ascii="宋体" w:hAnsi="宋体" w:eastAsia="宋体" w:cs="宋体"/>
          <w:color w:val="auto"/>
          <w:sz w:val="22"/>
          <w:szCs w:val="22"/>
          <w:highlight w:val="none"/>
        </w:rPr>
        <w:t>最后报价)，一式两份，可打印或用不退色墨水书写，但需经法定代表人或其委托代理人签字，</w:t>
      </w:r>
      <w:r>
        <w:rPr>
          <w:rFonts w:hint="eastAsia" w:ascii="宋体" w:hAnsi="宋体" w:eastAsia="宋体" w:cs="宋体"/>
          <w:color w:val="auto"/>
          <w:kern w:val="0"/>
          <w:sz w:val="22"/>
          <w:szCs w:val="22"/>
          <w:highlight w:val="none"/>
        </w:rPr>
        <w:t>或者加盖供应商单位章</w:t>
      </w:r>
      <w:r>
        <w:rPr>
          <w:rFonts w:hint="eastAsia" w:ascii="宋体" w:hAnsi="宋体" w:eastAsia="宋体" w:cs="宋体"/>
          <w:color w:val="auto"/>
          <w:sz w:val="22"/>
          <w:szCs w:val="22"/>
          <w:highlight w:val="none"/>
        </w:rPr>
        <w:t>。否则，将导致响应文件无效。</w:t>
      </w:r>
    </w:p>
    <w:p>
      <w:pPr>
        <w:pageBreakBefore w:val="0"/>
        <w:kinsoku/>
        <w:wordWrap/>
        <w:overflowPunct/>
        <w:bidi w:val="0"/>
        <w:adjustRightInd w:val="0"/>
        <w:snapToGrid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四、响应文件的递交</w:t>
      </w:r>
    </w:p>
    <w:p>
      <w:pPr>
        <w:pageBreakBefore w:val="0"/>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22.</w:t>
      </w:r>
      <w:r>
        <w:rPr>
          <w:rFonts w:hint="eastAsia" w:ascii="宋体" w:hAnsi="宋体" w:eastAsia="宋体" w:cs="宋体"/>
          <w:b/>
          <w:color w:val="auto"/>
          <w:sz w:val="22"/>
          <w:szCs w:val="22"/>
          <w:highlight w:val="none"/>
        </w:rPr>
        <w:t>响应文件</w:t>
      </w:r>
      <w:r>
        <w:rPr>
          <w:rFonts w:hint="eastAsia" w:ascii="宋体" w:hAnsi="宋体" w:eastAsia="宋体" w:cs="宋体"/>
          <w:b/>
          <w:bCs/>
          <w:color w:val="auto"/>
          <w:sz w:val="22"/>
          <w:szCs w:val="22"/>
          <w:highlight w:val="none"/>
        </w:rPr>
        <w:t>的密封和标记</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22.1响应文件应密封包装，加贴封条，并在封套的封口处盖供应商单位章或者由法定代表人或其委托代理人签字。</w:t>
      </w:r>
    </w:p>
    <w:p>
      <w:pPr>
        <w:pageBreakBefore w:val="0"/>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22.2响应文件封套上应写明的内容见</w:t>
      </w:r>
      <w:r>
        <w:rPr>
          <w:rFonts w:hint="eastAsia" w:ascii="宋体" w:hAnsi="宋体" w:eastAsia="宋体" w:cs="宋体"/>
          <w:b/>
          <w:color w:val="auto"/>
          <w:sz w:val="22"/>
          <w:szCs w:val="22"/>
          <w:highlight w:val="none"/>
        </w:rPr>
        <w:t>磋商须知前附表。</w:t>
      </w:r>
    </w:p>
    <w:p>
      <w:pPr>
        <w:pageBreakBefore w:val="0"/>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22.3响应文件如果未按上述规定密封和加写标记，采购人或采购代理机构将拒绝接收。</w:t>
      </w:r>
    </w:p>
    <w:p>
      <w:pPr>
        <w:pageBreakBefore w:val="0"/>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23.响应文件的</w:t>
      </w:r>
      <w:r>
        <w:rPr>
          <w:rFonts w:hint="eastAsia" w:ascii="宋体" w:hAnsi="宋体" w:eastAsia="宋体" w:cs="宋体"/>
          <w:b/>
          <w:color w:val="auto"/>
          <w:kern w:val="0"/>
          <w:sz w:val="22"/>
          <w:szCs w:val="22"/>
          <w:highlight w:val="none"/>
          <w:lang w:val="zh-CN"/>
        </w:rPr>
        <w:t>补充、修改或者撤回</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23.1</w:t>
      </w:r>
      <w:r>
        <w:rPr>
          <w:rFonts w:hint="eastAsia" w:ascii="宋体" w:hAnsi="宋体" w:eastAsia="宋体" w:cs="宋体"/>
          <w:color w:val="auto"/>
          <w:kern w:val="0"/>
          <w:sz w:val="22"/>
          <w:szCs w:val="22"/>
          <w:highlight w:val="none"/>
        </w:rPr>
        <w:t>供应商在提交首次响应文件截止时间前，可以对所提交的首次响应文件进行补充、修改或者撤回，并书面通知采购人、采购代理机构。</w:t>
      </w:r>
      <w:r>
        <w:rPr>
          <w:rFonts w:hint="eastAsia" w:ascii="宋体" w:hAnsi="宋体" w:eastAsia="宋体" w:cs="宋体"/>
          <w:color w:val="auto"/>
          <w:sz w:val="22"/>
          <w:szCs w:val="22"/>
          <w:highlight w:val="none"/>
        </w:rPr>
        <w:t>该通知应有供应商法定代表人或其委托代理人签字。</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23.2</w:t>
      </w:r>
      <w:r>
        <w:rPr>
          <w:rFonts w:hint="eastAsia" w:ascii="宋体" w:hAnsi="宋体" w:eastAsia="宋体" w:cs="宋体"/>
          <w:color w:val="auto"/>
          <w:kern w:val="0"/>
          <w:sz w:val="22"/>
          <w:szCs w:val="22"/>
          <w:highlight w:val="none"/>
          <w:lang w:val="zh-CN"/>
        </w:rPr>
        <w:t>补充、修改的内容与响应文件不一致时，以补充、修改的内容为准。</w:t>
      </w:r>
    </w:p>
    <w:p>
      <w:pPr>
        <w:pageBreakBefore w:val="0"/>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24.响应文件的递交与接收</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24.1 供应商应在</w:t>
      </w:r>
      <w:r>
        <w:rPr>
          <w:rFonts w:hint="eastAsia" w:ascii="宋体" w:hAnsi="宋体" w:eastAsia="宋体" w:cs="宋体"/>
          <w:color w:val="auto"/>
          <w:kern w:val="0"/>
          <w:sz w:val="22"/>
          <w:szCs w:val="22"/>
          <w:highlight w:val="none"/>
        </w:rPr>
        <w:t>提交首次响应文件截止时间</w:t>
      </w:r>
      <w:r>
        <w:rPr>
          <w:rFonts w:hint="eastAsia" w:ascii="宋体" w:hAnsi="宋体" w:eastAsia="宋体" w:cs="宋体"/>
          <w:color w:val="auto"/>
          <w:sz w:val="22"/>
          <w:szCs w:val="22"/>
          <w:highlight w:val="none"/>
        </w:rPr>
        <w:t>前，将响应文件送达</w:t>
      </w:r>
      <w:r>
        <w:rPr>
          <w:rFonts w:hint="eastAsia" w:ascii="宋体" w:hAnsi="宋体" w:eastAsia="宋体" w:cs="宋体"/>
          <w:b/>
          <w:color w:val="auto"/>
          <w:sz w:val="22"/>
          <w:szCs w:val="22"/>
          <w:highlight w:val="none"/>
        </w:rPr>
        <w:t>磋商须知前附表</w:t>
      </w:r>
      <w:r>
        <w:rPr>
          <w:rFonts w:hint="eastAsia" w:ascii="宋体" w:hAnsi="宋体" w:eastAsia="宋体" w:cs="宋体"/>
          <w:color w:val="auto"/>
          <w:sz w:val="22"/>
          <w:szCs w:val="22"/>
          <w:highlight w:val="none"/>
        </w:rPr>
        <w:t>中指定的地点。</w:t>
      </w:r>
      <w:r>
        <w:rPr>
          <w:rFonts w:hint="eastAsia" w:ascii="宋体" w:hAnsi="宋体" w:eastAsia="宋体" w:cs="宋体"/>
          <w:color w:val="auto"/>
          <w:kern w:val="0"/>
          <w:sz w:val="22"/>
          <w:szCs w:val="28"/>
          <w:highlight w:val="none"/>
        </w:rPr>
        <w:t>在截止时间后送达的响应文件，采购人、采购代理机构或者磋商小组应当拒收。</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24.2</w:t>
      </w:r>
      <w:r>
        <w:rPr>
          <w:rFonts w:hint="eastAsia" w:ascii="宋体" w:hAnsi="宋体" w:eastAsia="宋体" w:cs="宋体"/>
          <w:color w:val="auto"/>
          <w:kern w:val="0"/>
          <w:sz w:val="22"/>
          <w:szCs w:val="22"/>
          <w:highlight w:val="none"/>
        </w:rPr>
        <w:t>在提交首次响应文件截止时间后，</w:t>
      </w:r>
      <w:r>
        <w:rPr>
          <w:rFonts w:hint="eastAsia" w:ascii="宋体" w:hAnsi="宋体" w:eastAsia="宋体" w:cs="宋体"/>
          <w:color w:val="auto"/>
          <w:sz w:val="22"/>
          <w:szCs w:val="22"/>
          <w:highlight w:val="none"/>
        </w:rPr>
        <w:t>由</w:t>
      </w:r>
      <w:r>
        <w:rPr>
          <w:rFonts w:hint="eastAsia" w:ascii="宋体" w:hAnsi="宋体" w:eastAsia="宋体" w:cs="宋体"/>
          <w:bCs/>
          <w:color w:val="auto"/>
          <w:sz w:val="22"/>
          <w:szCs w:val="22"/>
          <w:highlight w:val="none"/>
        </w:rPr>
        <w:t>供应商代表</w:t>
      </w:r>
      <w:r>
        <w:rPr>
          <w:rFonts w:hint="eastAsia" w:ascii="宋体" w:hAnsi="宋体" w:eastAsia="宋体" w:cs="宋体"/>
          <w:color w:val="auto"/>
          <w:sz w:val="22"/>
          <w:szCs w:val="22"/>
          <w:highlight w:val="none"/>
        </w:rPr>
        <w:t>当场查验</w:t>
      </w:r>
      <w:r>
        <w:rPr>
          <w:rFonts w:hint="eastAsia" w:ascii="宋体" w:hAnsi="宋体" w:eastAsia="宋体" w:cs="宋体"/>
          <w:bCs/>
          <w:color w:val="auto"/>
          <w:sz w:val="22"/>
          <w:szCs w:val="22"/>
          <w:highlight w:val="none"/>
        </w:rPr>
        <w:t>响应文件</w:t>
      </w:r>
      <w:r>
        <w:rPr>
          <w:rFonts w:hint="eastAsia" w:ascii="宋体" w:hAnsi="宋体" w:eastAsia="宋体" w:cs="宋体"/>
          <w:color w:val="auto"/>
          <w:sz w:val="22"/>
          <w:szCs w:val="22"/>
          <w:highlight w:val="none"/>
        </w:rPr>
        <w:t>的密封状况，采购人或</w:t>
      </w:r>
      <w:r>
        <w:rPr>
          <w:rFonts w:hint="eastAsia" w:ascii="宋体" w:hAnsi="宋体" w:eastAsia="宋体" w:cs="宋体"/>
          <w:bCs/>
          <w:color w:val="auto"/>
          <w:sz w:val="22"/>
          <w:szCs w:val="22"/>
          <w:highlight w:val="none"/>
        </w:rPr>
        <w:t>采购代理机构</w:t>
      </w:r>
      <w:r>
        <w:rPr>
          <w:rFonts w:hint="eastAsia" w:ascii="宋体" w:hAnsi="宋体" w:eastAsia="宋体" w:cs="宋体"/>
          <w:color w:val="auto"/>
          <w:sz w:val="22"/>
          <w:szCs w:val="22"/>
          <w:highlight w:val="none"/>
        </w:rPr>
        <w:t>不当场拆封</w:t>
      </w:r>
      <w:r>
        <w:rPr>
          <w:rFonts w:hint="eastAsia" w:ascii="宋体" w:hAnsi="宋体" w:eastAsia="宋体" w:cs="宋体"/>
          <w:bCs/>
          <w:color w:val="auto"/>
          <w:sz w:val="22"/>
          <w:szCs w:val="22"/>
          <w:highlight w:val="none"/>
        </w:rPr>
        <w:t>响应文件</w:t>
      </w:r>
      <w:r>
        <w:rPr>
          <w:rFonts w:hint="eastAsia" w:ascii="宋体" w:hAnsi="宋体" w:eastAsia="宋体" w:cs="宋体"/>
          <w:color w:val="auto"/>
          <w:sz w:val="22"/>
          <w:szCs w:val="22"/>
          <w:highlight w:val="none"/>
        </w:rPr>
        <w:t>。</w:t>
      </w:r>
    </w:p>
    <w:p>
      <w:pPr>
        <w:pageBreakBefore w:val="0"/>
        <w:kinsoku/>
        <w:wordWrap/>
        <w:overflowPunct/>
        <w:bidi w:val="0"/>
        <w:adjustRightInd w:val="0"/>
        <w:snapToGrid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五、响应文件的磋商与评审</w:t>
      </w:r>
    </w:p>
    <w:p>
      <w:pPr>
        <w:pageBreakBefore w:val="0"/>
        <w:tabs>
          <w:tab w:val="left" w:pos="0"/>
        </w:tabs>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25.磋商程序</w:t>
      </w:r>
    </w:p>
    <w:p>
      <w:pPr>
        <w:pageBreakBefore w:val="0"/>
        <w:widowControl/>
        <w:kinsoku/>
        <w:wordWrap/>
        <w:overflowPunct/>
        <w:bidi w:val="0"/>
        <w:adjustRightInd w:val="0"/>
        <w:snapToGrid w:val="0"/>
        <w:spacing w:line="360" w:lineRule="auto"/>
        <w:ind w:firstLine="420"/>
        <w:jc w:val="left"/>
        <w:textAlignment w:val="auto"/>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2"/>
          <w:highlight w:val="none"/>
        </w:rPr>
        <w:t>25.1磋商程序：响应文件审查、磋商（包括澄清）、响应文件评审、</w:t>
      </w:r>
      <w:r>
        <w:rPr>
          <w:rFonts w:hint="eastAsia" w:ascii="宋体" w:hAnsi="宋体" w:eastAsia="宋体" w:cs="宋体"/>
          <w:bCs/>
          <w:color w:val="auto"/>
          <w:sz w:val="22"/>
          <w:szCs w:val="22"/>
          <w:highlight w:val="none"/>
        </w:rPr>
        <w:t>提出成交供应商。其中，</w:t>
      </w:r>
      <w:r>
        <w:rPr>
          <w:rFonts w:hint="eastAsia" w:ascii="宋体" w:hAnsi="宋体" w:eastAsia="宋体" w:cs="宋体"/>
          <w:color w:val="auto"/>
          <w:kern w:val="0"/>
          <w:sz w:val="22"/>
          <w:szCs w:val="22"/>
          <w:highlight w:val="none"/>
        </w:rPr>
        <w:t>磋商按</w:t>
      </w:r>
      <w:r>
        <w:rPr>
          <w:rFonts w:hint="eastAsia" w:ascii="宋体" w:hAnsi="宋体" w:eastAsia="宋体" w:cs="宋体"/>
          <w:color w:val="auto"/>
          <w:sz w:val="22"/>
          <w:szCs w:val="22"/>
          <w:highlight w:val="none"/>
        </w:rPr>
        <w:t>本章</w:t>
      </w:r>
      <w:r>
        <w:rPr>
          <w:rFonts w:hint="eastAsia" w:ascii="宋体" w:hAnsi="宋体" w:eastAsia="宋体" w:cs="宋体"/>
          <w:color w:val="auto"/>
          <w:sz w:val="22"/>
          <w:szCs w:val="28"/>
          <w:highlight w:val="none"/>
        </w:rPr>
        <w:t>第30.1</w:t>
      </w:r>
      <w:r>
        <w:rPr>
          <w:rFonts w:hint="eastAsia" w:ascii="宋体" w:hAnsi="宋体" w:eastAsia="宋体" w:cs="宋体"/>
          <w:color w:val="auto"/>
          <w:kern w:val="0"/>
          <w:sz w:val="22"/>
          <w:szCs w:val="22"/>
          <w:highlight w:val="none"/>
          <w:lang w:val="zh-CN"/>
        </w:rPr>
        <w:t>款或者</w:t>
      </w:r>
      <w:r>
        <w:rPr>
          <w:rFonts w:hint="eastAsia" w:ascii="宋体" w:hAnsi="宋体" w:eastAsia="宋体" w:cs="宋体"/>
          <w:color w:val="auto"/>
          <w:sz w:val="22"/>
          <w:szCs w:val="28"/>
          <w:highlight w:val="none"/>
        </w:rPr>
        <w:t>第30.2</w:t>
      </w:r>
      <w:r>
        <w:rPr>
          <w:rFonts w:hint="eastAsia" w:ascii="宋体" w:hAnsi="宋体" w:eastAsia="宋体" w:cs="宋体"/>
          <w:color w:val="auto"/>
          <w:kern w:val="0"/>
          <w:sz w:val="22"/>
          <w:szCs w:val="22"/>
          <w:highlight w:val="none"/>
          <w:lang w:val="zh-CN"/>
        </w:rPr>
        <w:t>款</w:t>
      </w:r>
      <w:r>
        <w:rPr>
          <w:rFonts w:hint="eastAsia" w:ascii="宋体" w:hAnsi="宋体" w:eastAsia="宋体" w:cs="宋体"/>
          <w:color w:val="auto"/>
          <w:sz w:val="22"/>
          <w:szCs w:val="28"/>
          <w:highlight w:val="none"/>
        </w:rPr>
        <w:t>情形</w:t>
      </w:r>
      <w:r>
        <w:rPr>
          <w:rFonts w:hint="eastAsia" w:ascii="宋体" w:hAnsi="宋体" w:eastAsia="宋体" w:cs="宋体"/>
          <w:bCs/>
          <w:color w:val="auto"/>
          <w:sz w:val="22"/>
          <w:szCs w:val="22"/>
          <w:highlight w:val="none"/>
        </w:rPr>
        <w:t>进行。</w:t>
      </w:r>
    </w:p>
    <w:p>
      <w:pPr>
        <w:pageBreakBefore w:val="0"/>
        <w:widowControl/>
        <w:kinsoku/>
        <w:wordWrap/>
        <w:overflowPunct/>
        <w:bidi w:val="0"/>
        <w:adjustRightInd w:val="0"/>
        <w:snapToGrid w:val="0"/>
        <w:spacing w:line="360" w:lineRule="auto"/>
        <w:textAlignment w:val="auto"/>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26.</w:t>
      </w:r>
      <w:r>
        <w:rPr>
          <w:rFonts w:hint="eastAsia" w:ascii="宋体" w:hAnsi="宋体" w:eastAsia="宋体" w:cs="宋体"/>
          <w:color w:val="auto"/>
          <w:sz w:val="22"/>
          <w:szCs w:val="28"/>
          <w:highlight w:val="none"/>
        </w:rPr>
        <w:t xml:space="preserve"> </w:t>
      </w:r>
      <w:r>
        <w:rPr>
          <w:rFonts w:hint="eastAsia" w:ascii="宋体" w:hAnsi="宋体" w:eastAsia="宋体" w:cs="宋体"/>
          <w:b/>
          <w:color w:val="auto"/>
          <w:kern w:val="0"/>
          <w:sz w:val="22"/>
          <w:szCs w:val="22"/>
          <w:highlight w:val="none"/>
        </w:rPr>
        <w:t>响应文件审查</w:t>
      </w:r>
      <w:r>
        <w:rPr>
          <w:rFonts w:hint="eastAsia" w:ascii="宋体" w:hAnsi="宋体" w:eastAsia="宋体" w:cs="宋体"/>
          <w:b/>
          <w:color w:val="auto"/>
          <w:sz w:val="22"/>
          <w:szCs w:val="22"/>
          <w:highlight w:val="none"/>
        </w:rPr>
        <w:t xml:space="preserve"> </w:t>
      </w:r>
    </w:p>
    <w:p>
      <w:pPr>
        <w:pageBreakBefore w:val="0"/>
        <w:kinsoku/>
        <w:wordWrap/>
        <w:overflowPunct/>
        <w:bidi w:val="0"/>
        <w:adjustRightInd w:val="0"/>
        <w:snapToGrid w:val="0"/>
        <w:spacing w:before="156" w:beforeLines="5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26.1 资格性审查：根据本章第3.1项规定的供应商资格条件要求，对</w:t>
      </w:r>
      <w:r>
        <w:rPr>
          <w:rFonts w:hint="eastAsia" w:ascii="宋体" w:hAnsi="宋体" w:eastAsia="宋体" w:cs="宋体"/>
          <w:color w:val="auto"/>
          <w:sz w:val="22"/>
          <w:szCs w:val="28"/>
          <w:highlight w:val="none"/>
        </w:rPr>
        <w:t>响应</w:t>
      </w:r>
      <w:r>
        <w:rPr>
          <w:rFonts w:hint="eastAsia" w:ascii="宋体" w:hAnsi="宋体" w:eastAsia="宋体" w:cs="宋体"/>
          <w:color w:val="auto"/>
          <w:sz w:val="22"/>
          <w:szCs w:val="22"/>
          <w:highlight w:val="none"/>
        </w:rPr>
        <w:t>文件的资格证明等进行审查，以确定供应商是否具备磋商资格条件。</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26.2符合性审查: 对响应文件(包括首次提交的响应文件、重新提交的响应文件)的有效性、完整性和响应程度进行审查，以确定是否对磋商文件的实质性要求作出响应。</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26.3响应文件审查结束后，磋商小组所有成员集中与单一供应商分别进行磋商，并给予所有参加磋商的供应商平等的磋商机会。供应商应派其法定代表人或委托代理人参加磋商。</w:t>
      </w:r>
    </w:p>
    <w:p>
      <w:pPr>
        <w:pStyle w:val="20"/>
        <w:pageBreakBefore w:val="0"/>
        <w:kinsoku/>
        <w:wordWrap/>
        <w:overflowPunct/>
        <w:bidi w:val="0"/>
        <w:adjustRightInd w:val="0"/>
        <w:snapToGrid w:val="0"/>
        <w:spacing w:line="360" w:lineRule="auto"/>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27.实质性响应</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27.1</w:t>
      </w:r>
      <w:r>
        <w:rPr>
          <w:rFonts w:hint="eastAsia" w:ascii="宋体" w:hAnsi="宋体" w:eastAsia="宋体" w:cs="宋体"/>
          <w:color w:val="auto"/>
          <w:sz w:val="22"/>
          <w:szCs w:val="22"/>
          <w:highlight w:val="none"/>
        </w:rPr>
        <w:t>实质性响应是指响应文件(包括首次响应文件、重新提交的响应文件)与磋商文件要求的所有条款、条件和规格相符，没有偏离。偏离指不满足、或不响应磋商文件的要求。</w:t>
      </w:r>
    </w:p>
    <w:p>
      <w:pPr>
        <w:pageBreakBefore w:val="0"/>
        <w:tabs>
          <w:tab w:val="left" w:pos="0"/>
          <w:tab w:val="left" w:pos="7560"/>
          <w:tab w:val="left" w:pos="7740"/>
          <w:tab w:val="left" w:pos="7920"/>
        </w:tabs>
        <w:kinsoku/>
        <w:wordWrap/>
        <w:overflowPunct/>
        <w:bidi w:val="0"/>
        <w:adjustRightInd w:val="0"/>
        <w:snapToGrid w:val="0"/>
        <w:spacing w:line="360" w:lineRule="auto"/>
        <w:ind w:right="23" w:rightChars="11"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27.2</w:t>
      </w:r>
      <w:r>
        <w:rPr>
          <w:rFonts w:hint="eastAsia" w:ascii="宋体" w:hAnsi="宋体" w:eastAsia="宋体" w:cs="宋体"/>
          <w:color w:val="auto"/>
          <w:sz w:val="22"/>
          <w:szCs w:val="28"/>
          <w:highlight w:val="none"/>
        </w:rPr>
        <w:t>响应文件是否实质性响应磋商文件要求由磋商小组依据磋商文件规定认定。</w:t>
      </w:r>
      <w:r>
        <w:rPr>
          <w:rFonts w:hint="eastAsia" w:ascii="宋体" w:hAnsi="宋体" w:eastAsia="宋体" w:cs="宋体"/>
          <w:color w:val="auto"/>
          <w:kern w:val="0"/>
          <w:sz w:val="22"/>
          <w:szCs w:val="22"/>
          <w:highlight w:val="none"/>
        </w:rPr>
        <w:t>磋商小组</w:t>
      </w:r>
      <w:r>
        <w:rPr>
          <w:rFonts w:hint="eastAsia" w:ascii="宋体" w:hAnsi="宋体" w:eastAsia="宋体" w:cs="宋体"/>
          <w:color w:val="auto"/>
          <w:sz w:val="22"/>
          <w:szCs w:val="22"/>
          <w:highlight w:val="none"/>
        </w:rPr>
        <w:t>决定</w:t>
      </w:r>
      <w:r>
        <w:rPr>
          <w:rFonts w:hint="eastAsia" w:ascii="宋体" w:hAnsi="宋体" w:eastAsia="宋体" w:cs="宋体"/>
          <w:color w:val="auto"/>
          <w:sz w:val="22"/>
          <w:szCs w:val="28"/>
          <w:highlight w:val="none"/>
        </w:rPr>
        <w:t>响应文件</w:t>
      </w:r>
      <w:r>
        <w:rPr>
          <w:rFonts w:hint="eastAsia" w:ascii="宋体" w:hAnsi="宋体" w:eastAsia="宋体" w:cs="宋体"/>
          <w:color w:val="auto"/>
          <w:sz w:val="22"/>
          <w:szCs w:val="22"/>
          <w:highlight w:val="none"/>
        </w:rPr>
        <w:t>的响应性只根据</w:t>
      </w:r>
      <w:r>
        <w:rPr>
          <w:rFonts w:hint="eastAsia" w:ascii="宋体" w:hAnsi="宋体" w:eastAsia="宋体" w:cs="宋体"/>
          <w:color w:val="auto"/>
          <w:sz w:val="22"/>
          <w:szCs w:val="28"/>
          <w:highlight w:val="none"/>
        </w:rPr>
        <w:t>响应文件</w:t>
      </w:r>
      <w:r>
        <w:rPr>
          <w:rFonts w:hint="eastAsia" w:ascii="宋体" w:hAnsi="宋体" w:eastAsia="宋体" w:cs="宋体"/>
          <w:color w:val="auto"/>
          <w:sz w:val="22"/>
          <w:szCs w:val="22"/>
          <w:highlight w:val="none"/>
        </w:rPr>
        <w:t>本身的真实无误的内容，而不依据外部的证据。</w:t>
      </w:r>
    </w:p>
    <w:p>
      <w:pPr>
        <w:pStyle w:val="20"/>
        <w:pageBreakBefore w:val="0"/>
        <w:kinsoku/>
        <w:wordWrap/>
        <w:overflowPunct/>
        <w:bidi w:val="0"/>
        <w:adjustRightInd w:val="0"/>
        <w:snapToGrid w:val="0"/>
        <w:spacing w:line="360" w:lineRule="auto"/>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 xml:space="preserve">28.无效响应 </w:t>
      </w:r>
    </w:p>
    <w:p>
      <w:pPr>
        <w:pStyle w:val="20"/>
        <w:pageBreakBefore w:val="0"/>
        <w:kinsoku/>
        <w:wordWrap/>
        <w:overflowPunct/>
        <w:bidi w:val="0"/>
        <w:adjustRightInd w:val="0"/>
        <w:snapToGrid w:val="0"/>
        <w:spacing w:line="360" w:lineRule="auto"/>
        <w:ind w:firstLine="431" w:firstLineChars="196"/>
        <w:textAlignment w:val="auto"/>
        <w:rPr>
          <w:rFonts w:hint="eastAsia"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28.1</w:t>
      </w:r>
      <w:r>
        <w:rPr>
          <w:rFonts w:hint="eastAsia" w:ascii="宋体" w:hAnsi="宋体" w:eastAsia="宋体" w:cs="宋体"/>
          <w:color w:val="auto"/>
          <w:sz w:val="22"/>
          <w:szCs w:val="22"/>
          <w:highlight w:val="none"/>
        </w:rPr>
        <w:t>磋商小组在对资格性和符合性进行审查时，有下列情况之一的，属无效响应，</w:t>
      </w:r>
      <w:r>
        <w:rPr>
          <w:rFonts w:hint="eastAsia" w:ascii="宋体" w:hAnsi="宋体" w:eastAsia="宋体" w:cs="宋体"/>
          <w:color w:val="auto"/>
          <w:kern w:val="0"/>
          <w:sz w:val="22"/>
          <w:szCs w:val="22"/>
          <w:highlight w:val="none"/>
        </w:rPr>
        <w:t>磋商小组应当告知有关供应商</w:t>
      </w:r>
      <w:r>
        <w:rPr>
          <w:rFonts w:hint="eastAsia" w:ascii="宋体" w:hAnsi="宋体" w:eastAsia="宋体" w:cs="宋体"/>
          <w:color w:val="auto"/>
          <w:sz w:val="22"/>
          <w:szCs w:val="22"/>
          <w:highlight w:val="none"/>
        </w:rPr>
        <w:t>：</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（1）供应商不具备本章第3.1款规定的供应商资格条件要求，或存在本章第3.3款情形的；</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（2）联合体不符合本章第3.2款规定的；</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（3）应交未交磋商保证金或金额不足、磋商保证金缴纳形式不符合磋商文件要求的；</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（4）响应文件未按照磋商文件要求签署、盖章的；</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（4）响应文件不满足本章第27.1款规定的实质性要求的；</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（5）报价超过采购项目预算的；</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（6）响应文件有效期不足的；</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（7）响应文件不符合法律、规章、规范性文件和磋商文件规定及要求的。</w:t>
      </w:r>
    </w:p>
    <w:p>
      <w:pPr>
        <w:pageBreakBefore w:val="0"/>
        <w:widowControl/>
        <w:kinsoku/>
        <w:wordWrap/>
        <w:overflowPunct/>
        <w:bidi w:val="0"/>
        <w:adjustRightInd w:val="0"/>
        <w:snapToGrid w:val="0"/>
        <w:spacing w:line="360" w:lineRule="auto"/>
        <w:jc w:val="left"/>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29.澄清</w:t>
      </w:r>
    </w:p>
    <w:p>
      <w:pPr>
        <w:pageBreakBefore w:val="0"/>
        <w:widowControl/>
        <w:kinsoku/>
        <w:wordWrap/>
        <w:overflowPunct/>
        <w:bidi w:val="0"/>
        <w:adjustRightInd w:val="0"/>
        <w:snapToGrid w:val="0"/>
        <w:spacing w:line="360" w:lineRule="auto"/>
        <w:ind w:firstLine="42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pPr>
        <w:pageBreakBefore w:val="0"/>
        <w:widowControl/>
        <w:kinsoku/>
        <w:wordWrap/>
        <w:overflowPunct/>
        <w:bidi w:val="0"/>
        <w:adjustRightInd w:val="0"/>
        <w:snapToGrid w:val="0"/>
        <w:spacing w:line="360" w:lineRule="auto"/>
        <w:ind w:firstLine="42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pPr>
        <w:pageBreakBefore w:val="0"/>
        <w:widowControl/>
        <w:kinsoku/>
        <w:wordWrap/>
        <w:overflowPunct/>
        <w:bidi w:val="0"/>
        <w:adjustRightInd w:val="0"/>
        <w:snapToGrid w:val="0"/>
        <w:spacing w:line="360" w:lineRule="auto"/>
        <w:jc w:val="left"/>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30.磋商</w:t>
      </w:r>
    </w:p>
    <w:p>
      <w:pPr>
        <w:pageBreakBefore w:val="0"/>
        <w:widowControl/>
        <w:kinsoku/>
        <w:wordWrap/>
        <w:overflowPunct/>
        <w:bidi w:val="0"/>
        <w:adjustRightInd w:val="0"/>
        <w:snapToGrid w:val="0"/>
        <w:spacing w:line="360" w:lineRule="auto"/>
        <w:ind w:firstLine="420"/>
        <w:jc w:val="left"/>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30.1</w:t>
      </w:r>
      <w:r>
        <w:rPr>
          <w:rFonts w:hint="eastAsia" w:ascii="宋体" w:hAnsi="宋体" w:eastAsia="宋体" w:cs="宋体"/>
          <w:color w:val="auto"/>
          <w:sz w:val="22"/>
          <w:szCs w:val="28"/>
          <w:highlight w:val="none"/>
        </w:rPr>
        <w:t>本章第10.2项</w:t>
      </w:r>
      <w:r>
        <w:rPr>
          <w:rFonts w:hint="eastAsia" w:ascii="宋体" w:hAnsi="宋体" w:eastAsia="宋体" w:cs="宋体"/>
          <w:color w:val="auto"/>
          <w:kern w:val="0"/>
          <w:sz w:val="22"/>
          <w:szCs w:val="22"/>
          <w:highlight w:val="none"/>
        </w:rPr>
        <w:t>未明确磋商文件实质性变动内容的，或者磋商文件明确了可能发生实质性变动内容，但在磋商过程中，</w:t>
      </w:r>
      <w:r>
        <w:rPr>
          <w:rFonts w:hint="eastAsia" w:ascii="宋体" w:hAnsi="宋体" w:eastAsia="宋体" w:cs="宋体"/>
          <w:bCs/>
          <w:color w:val="auto"/>
          <w:sz w:val="22"/>
          <w:szCs w:val="22"/>
          <w:highlight w:val="none"/>
        </w:rPr>
        <w:t>磋商小组</w:t>
      </w:r>
      <w:r>
        <w:rPr>
          <w:rFonts w:hint="eastAsia" w:ascii="宋体" w:hAnsi="宋体" w:eastAsia="宋体" w:cs="宋体"/>
          <w:color w:val="auto"/>
          <w:kern w:val="0"/>
          <w:sz w:val="22"/>
          <w:szCs w:val="22"/>
          <w:highlight w:val="none"/>
        </w:rPr>
        <w:t>根据磋商情况</w:t>
      </w:r>
      <w:r>
        <w:rPr>
          <w:rFonts w:hint="eastAsia" w:ascii="宋体" w:hAnsi="宋体" w:eastAsia="宋体" w:cs="宋体"/>
          <w:bCs/>
          <w:color w:val="auto"/>
          <w:sz w:val="22"/>
          <w:szCs w:val="22"/>
          <w:highlight w:val="none"/>
        </w:rPr>
        <w:t>认为</w:t>
      </w:r>
      <w:r>
        <w:rPr>
          <w:rFonts w:hint="eastAsia" w:ascii="宋体" w:hAnsi="宋体" w:eastAsia="宋体" w:cs="宋体"/>
          <w:color w:val="auto"/>
          <w:kern w:val="0"/>
          <w:sz w:val="22"/>
          <w:szCs w:val="22"/>
          <w:highlight w:val="none"/>
        </w:rPr>
        <w:t>磋商文件无需发生实质性变动的，磋商小组应当直接与响应文件审查合格的供应商就价格组织多轮磋商。</w:t>
      </w:r>
    </w:p>
    <w:p>
      <w:pPr>
        <w:pageBreakBefore w:val="0"/>
        <w:widowControl/>
        <w:tabs>
          <w:tab w:val="left" w:pos="1080"/>
          <w:tab w:val="left" w:pos="1260"/>
        </w:tabs>
        <w:kinsoku/>
        <w:wordWrap/>
        <w:overflowPunct/>
        <w:bidi w:val="0"/>
        <w:adjustRightInd w:val="0"/>
        <w:snapToGrid w:val="0"/>
        <w:spacing w:line="360" w:lineRule="auto"/>
        <w:ind w:firstLine="42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（1）磋商结束后，磋商小组应当要求所有继续参加磋商的供应商在磋商小组规定时间内提交最后报价。</w:t>
      </w:r>
    </w:p>
    <w:p>
      <w:pPr>
        <w:pageBreakBefore w:val="0"/>
        <w:widowControl/>
        <w:tabs>
          <w:tab w:val="left" w:pos="1080"/>
          <w:tab w:val="left" w:pos="1260"/>
        </w:tabs>
        <w:kinsoku/>
        <w:wordWrap/>
        <w:overflowPunct/>
        <w:bidi w:val="0"/>
        <w:adjustRightInd w:val="0"/>
        <w:snapToGrid w:val="0"/>
        <w:spacing w:line="360" w:lineRule="auto"/>
        <w:ind w:firstLine="42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（2）磋商文件明确可能发生实质性变动，但在磋商过程中</w:t>
      </w:r>
      <w:r>
        <w:rPr>
          <w:rFonts w:hint="eastAsia" w:ascii="宋体" w:hAnsi="宋体" w:eastAsia="宋体" w:cs="宋体"/>
          <w:bCs/>
          <w:color w:val="auto"/>
          <w:sz w:val="22"/>
          <w:szCs w:val="22"/>
          <w:highlight w:val="none"/>
        </w:rPr>
        <w:t>磋商小组</w:t>
      </w:r>
      <w:r>
        <w:rPr>
          <w:rFonts w:hint="eastAsia" w:ascii="宋体" w:hAnsi="宋体" w:eastAsia="宋体" w:cs="宋体"/>
          <w:color w:val="auto"/>
          <w:kern w:val="0"/>
          <w:sz w:val="22"/>
          <w:szCs w:val="22"/>
          <w:highlight w:val="none"/>
        </w:rPr>
        <w:t>根据磋商情况</w:t>
      </w:r>
      <w:r>
        <w:rPr>
          <w:rFonts w:hint="eastAsia" w:ascii="宋体" w:hAnsi="宋体" w:eastAsia="宋体" w:cs="宋体"/>
          <w:bCs/>
          <w:color w:val="auto"/>
          <w:sz w:val="22"/>
          <w:szCs w:val="22"/>
          <w:highlight w:val="none"/>
        </w:rPr>
        <w:t>认为</w:t>
      </w:r>
      <w:r>
        <w:rPr>
          <w:rFonts w:hint="eastAsia" w:ascii="宋体" w:hAnsi="宋体" w:eastAsia="宋体" w:cs="宋体"/>
          <w:color w:val="auto"/>
          <w:kern w:val="0"/>
          <w:sz w:val="22"/>
          <w:szCs w:val="22"/>
          <w:highlight w:val="none"/>
        </w:rPr>
        <w:t>磋商文件无需发生实质性变动的，磋商小组不另行通知。</w:t>
      </w:r>
    </w:p>
    <w:p>
      <w:pPr>
        <w:pageBreakBefore w:val="0"/>
        <w:widowControl/>
        <w:kinsoku/>
        <w:wordWrap/>
        <w:overflowPunct/>
        <w:bidi w:val="0"/>
        <w:adjustRightInd w:val="0"/>
        <w:snapToGrid w:val="0"/>
        <w:spacing w:line="360" w:lineRule="auto"/>
        <w:ind w:firstLine="42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30.2</w:t>
      </w:r>
      <w:r>
        <w:rPr>
          <w:rFonts w:hint="eastAsia" w:ascii="宋体" w:hAnsi="宋体" w:eastAsia="宋体" w:cs="宋体"/>
          <w:color w:val="auto"/>
          <w:sz w:val="22"/>
          <w:szCs w:val="28"/>
          <w:highlight w:val="none"/>
        </w:rPr>
        <w:t>本章第10.2</w:t>
      </w:r>
      <w:r>
        <w:rPr>
          <w:rFonts w:hint="eastAsia" w:ascii="宋体" w:hAnsi="宋体" w:eastAsia="宋体" w:cs="宋体"/>
          <w:color w:val="auto"/>
          <w:kern w:val="0"/>
          <w:sz w:val="22"/>
          <w:szCs w:val="22"/>
          <w:highlight w:val="none"/>
          <w:lang w:val="zh-CN"/>
        </w:rPr>
        <w:t>款</w:t>
      </w:r>
      <w:r>
        <w:rPr>
          <w:rFonts w:hint="eastAsia" w:ascii="宋体" w:hAnsi="宋体" w:eastAsia="宋体" w:cs="宋体"/>
          <w:color w:val="auto"/>
          <w:kern w:val="0"/>
          <w:sz w:val="22"/>
          <w:szCs w:val="22"/>
          <w:highlight w:val="none"/>
        </w:rPr>
        <w:t>明确磋商文件实质性变动内容的，</w:t>
      </w:r>
      <w:r>
        <w:rPr>
          <w:rFonts w:hint="eastAsia" w:ascii="宋体" w:hAnsi="宋体" w:eastAsia="宋体" w:cs="宋体"/>
          <w:bCs/>
          <w:color w:val="auto"/>
          <w:sz w:val="22"/>
          <w:szCs w:val="22"/>
          <w:highlight w:val="none"/>
        </w:rPr>
        <w:t>磋商小组</w:t>
      </w:r>
      <w:r>
        <w:rPr>
          <w:rFonts w:hint="eastAsia" w:ascii="宋体" w:hAnsi="宋体" w:eastAsia="宋体" w:cs="宋体"/>
          <w:color w:val="auto"/>
          <w:kern w:val="0"/>
          <w:sz w:val="22"/>
          <w:szCs w:val="22"/>
          <w:highlight w:val="none"/>
        </w:rPr>
        <w:t>可以组织多轮磋商。</w:t>
      </w:r>
      <w:r>
        <w:rPr>
          <w:rFonts w:hint="eastAsia" w:ascii="宋体" w:hAnsi="宋体" w:eastAsia="宋体" w:cs="宋体"/>
          <w:bCs/>
          <w:color w:val="auto"/>
          <w:sz w:val="22"/>
          <w:szCs w:val="22"/>
          <w:highlight w:val="none"/>
        </w:rPr>
        <w:t>在每一轮磋商中，磋商小组</w:t>
      </w:r>
      <w:r>
        <w:rPr>
          <w:rFonts w:hint="eastAsia" w:ascii="宋体" w:hAnsi="宋体" w:eastAsia="宋体" w:cs="宋体"/>
          <w:color w:val="auto"/>
          <w:kern w:val="0"/>
          <w:sz w:val="22"/>
          <w:szCs w:val="22"/>
          <w:highlight w:val="none"/>
        </w:rPr>
        <w:t>可以根据磋商文件规定和磋商情况，</w:t>
      </w:r>
      <w:r>
        <w:rPr>
          <w:rFonts w:hint="eastAsia" w:ascii="宋体" w:hAnsi="宋体" w:eastAsia="宋体" w:cs="宋体"/>
          <w:bCs/>
          <w:color w:val="auto"/>
          <w:sz w:val="22"/>
          <w:szCs w:val="22"/>
          <w:highlight w:val="none"/>
        </w:rPr>
        <w:t>对磋商文件的</w:t>
      </w:r>
      <w:r>
        <w:rPr>
          <w:rFonts w:hint="eastAsia" w:ascii="宋体" w:hAnsi="宋体" w:eastAsia="宋体" w:cs="宋体"/>
          <w:color w:val="auto"/>
          <w:kern w:val="0"/>
          <w:sz w:val="22"/>
          <w:szCs w:val="22"/>
          <w:highlight w:val="none"/>
        </w:rPr>
        <w:t>采购需求中的技术、服务要求以及合同草案条款</w:t>
      </w:r>
      <w:r>
        <w:rPr>
          <w:rFonts w:hint="eastAsia" w:ascii="宋体" w:hAnsi="宋体" w:eastAsia="宋体" w:cs="宋体"/>
          <w:bCs/>
          <w:color w:val="auto"/>
          <w:sz w:val="22"/>
          <w:szCs w:val="22"/>
          <w:highlight w:val="none"/>
        </w:rPr>
        <w:t>作实质性变动(磋商文件的实质性变动内容为磋商文件的组成部分)，并以书面形式要求</w:t>
      </w:r>
      <w:r>
        <w:rPr>
          <w:rFonts w:hint="eastAsia" w:ascii="宋体" w:hAnsi="宋体" w:eastAsia="宋体" w:cs="宋体"/>
          <w:color w:val="auto"/>
          <w:kern w:val="0"/>
          <w:sz w:val="22"/>
          <w:szCs w:val="22"/>
          <w:highlight w:val="none"/>
        </w:rPr>
        <w:t>响应文件审查合格</w:t>
      </w:r>
      <w:r>
        <w:rPr>
          <w:rFonts w:hint="eastAsia" w:ascii="宋体" w:hAnsi="宋体" w:eastAsia="宋体" w:cs="宋体"/>
          <w:bCs/>
          <w:color w:val="auto"/>
          <w:sz w:val="22"/>
          <w:szCs w:val="22"/>
          <w:highlight w:val="none"/>
        </w:rPr>
        <w:t>的供应商，在规定的</w:t>
      </w:r>
      <w:r>
        <w:rPr>
          <w:rFonts w:hint="eastAsia" w:ascii="宋体" w:hAnsi="宋体" w:eastAsia="宋体" w:cs="宋体"/>
          <w:color w:val="auto"/>
          <w:kern w:val="0"/>
          <w:sz w:val="22"/>
          <w:szCs w:val="22"/>
          <w:highlight w:val="none"/>
        </w:rPr>
        <w:t>截止时间前</w:t>
      </w:r>
      <w:r>
        <w:rPr>
          <w:rFonts w:hint="eastAsia" w:ascii="宋体" w:hAnsi="宋体" w:eastAsia="宋体" w:cs="宋体"/>
          <w:bCs/>
          <w:color w:val="auto"/>
          <w:sz w:val="22"/>
          <w:szCs w:val="22"/>
          <w:highlight w:val="none"/>
        </w:rPr>
        <w:t>重</w:t>
      </w:r>
      <w:r>
        <w:rPr>
          <w:rFonts w:hint="eastAsia" w:ascii="宋体" w:hAnsi="宋体" w:eastAsia="宋体" w:cs="宋体"/>
          <w:color w:val="auto"/>
          <w:kern w:val="0"/>
          <w:sz w:val="22"/>
          <w:szCs w:val="22"/>
          <w:highlight w:val="none"/>
        </w:rPr>
        <w:t>新提交响应文件</w:t>
      </w:r>
      <w:r>
        <w:rPr>
          <w:rFonts w:hint="eastAsia" w:ascii="宋体" w:hAnsi="宋体" w:eastAsia="宋体" w:cs="宋体"/>
          <w:bCs/>
          <w:color w:val="auto"/>
          <w:sz w:val="22"/>
          <w:szCs w:val="22"/>
          <w:highlight w:val="none"/>
        </w:rPr>
        <w:t>。</w:t>
      </w:r>
      <w:r>
        <w:rPr>
          <w:rFonts w:hint="eastAsia" w:ascii="宋体" w:hAnsi="宋体" w:eastAsia="宋体" w:cs="宋体"/>
          <w:color w:val="auto"/>
          <w:kern w:val="0"/>
          <w:sz w:val="22"/>
          <w:szCs w:val="22"/>
          <w:highlight w:val="none"/>
        </w:rPr>
        <w:t>磋商小组应当</w:t>
      </w:r>
      <w:r>
        <w:rPr>
          <w:rFonts w:hint="eastAsia" w:ascii="宋体" w:hAnsi="宋体" w:eastAsia="宋体" w:cs="宋体"/>
          <w:color w:val="auto"/>
          <w:sz w:val="22"/>
          <w:szCs w:val="22"/>
          <w:highlight w:val="none"/>
        </w:rPr>
        <w:t>根据本章第26.2</w:t>
      </w:r>
      <w:r>
        <w:rPr>
          <w:rFonts w:hint="eastAsia" w:ascii="宋体" w:hAnsi="宋体" w:eastAsia="宋体" w:cs="宋体"/>
          <w:color w:val="auto"/>
          <w:kern w:val="0"/>
          <w:sz w:val="22"/>
          <w:szCs w:val="22"/>
          <w:highlight w:val="none"/>
          <w:lang w:val="zh-CN"/>
        </w:rPr>
        <w:t>款</w:t>
      </w:r>
      <w:r>
        <w:rPr>
          <w:rFonts w:hint="eastAsia" w:ascii="宋体" w:hAnsi="宋体" w:eastAsia="宋体" w:cs="宋体"/>
          <w:color w:val="auto"/>
          <w:sz w:val="22"/>
          <w:szCs w:val="22"/>
          <w:highlight w:val="none"/>
        </w:rPr>
        <w:t>规定</w:t>
      </w:r>
      <w:r>
        <w:rPr>
          <w:rFonts w:hint="eastAsia" w:ascii="宋体" w:hAnsi="宋体" w:eastAsia="宋体" w:cs="宋体"/>
          <w:color w:val="auto"/>
          <w:kern w:val="0"/>
          <w:sz w:val="22"/>
          <w:szCs w:val="22"/>
          <w:highlight w:val="none"/>
        </w:rPr>
        <w:t>对供应商重新提交的响应文件进行审查。供应商重新提交的响应文件审查不合格的，不得进入下一轮磋商，也不得要求提交最后报价。</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（1）磋商文件能够详细列明采购需求的技术、服务要求的，磋商结束后，磋商小组应当要求所有继续参加磋商的供应商在规定时间内提交最后报价。</w:t>
      </w:r>
    </w:p>
    <w:p>
      <w:pPr>
        <w:pageBreakBefore w:val="0"/>
        <w:widowControl/>
        <w:kinsoku/>
        <w:wordWrap/>
        <w:overflowPunct/>
        <w:bidi w:val="0"/>
        <w:adjustRightInd w:val="0"/>
        <w:snapToGrid w:val="0"/>
        <w:spacing w:line="360" w:lineRule="auto"/>
        <w:ind w:firstLine="42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ageBreakBefore w:val="0"/>
        <w:widowControl/>
        <w:kinsoku/>
        <w:wordWrap/>
        <w:overflowPunct/>
        <w:bidi w:val="0"/>
        <w:adjustRightInd w:val="0"/>
        <w:snapToGrid w:val="0"/>
        <w:spacing w:line="360" w:lineRule="auto"/>
        <w:ind w:firstLine="42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30.3</w:t>
      </w:r>
      <w:r>
        <w:rPr>
          <w:rFonts w:hint="eastAsia" w:ascii="宋体" w:hAnsi="宋体" w:eastAsia="宋体" w:cs="宋体"/>
          <w:color w:val="auto"/>
          <w:sz w:val="22"/>
          <w:szCs w:val="28"/>
          <w:highlight w:val="none"/>
        </w:rPr>
        <w:t xml:space="preserve"> </w:t>
      </w:r>
      <w:r>
        <w:rPr>
          <w:rFonts w:hint="eastAsia" w:ascii="宋体" w:hAnsi="宋体" w:eastAsia="宋体" w:cs="宋体"/>
          <w:bCs/>
          <w:color w:val="auto"/>
          <w:sz w:val="22"/>
          <w:szCs w:val="28"/>
          <w:highlight w:val="none"/>
        </w:rPr>
        <w:t>重</w:t>
      </w:r>
      <w:r>
        <w:rPr>
          <w:rFonts w:hint="eastAsia" w:ascii="宋体" w:hAnsi="宋体" w:eastAsia="宋体" w:cs="宋体"/>
          <w:color w:val="auto"/>
          <w:kern w:val="0"/>
          <w:sz w:val="22"/>
          <w:szCs w:val="28"/>
          <w:highlight w:val="none"/>
        </w:rPr>
        <w:t>新提交的响应文件</w:t>
      </w:r>
      <w:r>
        <w:rPr>
          <w:rFonts w:hint="eastAsia" w:ascii="宋体" w:hAnsi="宋体" w:eastAsia="宋体" w:cs="宋体"/>
          <w:color w:val="auto"/>
          <w:sz w:val="22"/>
          <w:szCs w:val="28"/>
          <w:highlight w:val="none"/>
        </w:rPr>
        <w:t>或者最后报价应按</w:t>
      </w:r>
      <w:r>
        <w:rPr>
          <w:rFonts w:hint="eastAsia" w:ascii="宋体" w:hAnsi="宋体" w:eastAsia="宋体" w:cs="宋体"/>
          <w:color w:val="auto"/>
          <w:kern w:val="0"/>
          <w:sz w:val="22"/>
          <w:szCs w:val="22"/>
          <w:highlight w:val="none"/>
        </w:rPr>
        <w:t>本章第</w:t>
      </w:r>
      <w:r>
        <w:rPr>
          <w:rFonts w:hint="eastAsia" w:ascii="宋体" w:hAnsi="宋体" w:eastAsia="宋体" w:cs="宋体"/>
          <w:color w:val="auto"/>
          <w:sz w:val="22"/>
          <w:szCs w:val="28"/>
          <w:highlight w:val="none"/>
        </w:rPr>
        <w:t>21.3</w:t>
      </w:r>
      <w:r>
        <w:rPr>
          <w:rFonts w:hint="eastAsia" w:ascii="宋体" w:hAnsi="宋体" w:eastAsia="宋体" w:cs="宋体"/>
          <w:color w:val="auto"/>
          <w:kern w:val="0"/>
          <w:sz w:val="22"/>
          <w:szCs w:val="22"/>
          <w:highlight w:val="none"/>
          <w:lang w:val="zh-CN"/>
        </w:rPr>
        <w:t>款</w:t>
      </w:r>
      <w:r>
        <w:rPr>
          <w:rFonts w:hint="eastAsia" w:ascii="宋体" w:hAnsi="宋体" w:eastAsia="宋体" w:cs="宋体"/>
          <w:color w:val="auto"/>
          <w:sz w:val="22"/>
          <w:szCs w:val="28"/>
          <w:highlight w:val="none"/>
        </w:rPr>
        <w:t>规定，</w:t>
      </w:r>
      <w:r>
        <w:rPr>
          <w:rFonts w:hint="eastAsia" w:ascii="宋体" w:hAnsi="宋体" w:eastAsia="宋体" w:cs="宋体"/>
          <w:color w:val="auto"/>
          <w:kern w:val="0"/>
          <w:sz w:val="22"/>
          <w:szCs w:val="22"/>
          <w:highlight w:val="none"/>
        </w:rPr>
        <w:t>由其法定代表人或其委托代理人签字或者加盖</w:t>
      </w:r>
      <w:r>
        <w:rPr>
          <w:rFonts w:hint="eastAsia" w:ascii="宋体" w:hAnsi="宋体" w:eastAsia="宋体" w:cs="宋体"/>
          <w:color w:val="auto"/>
          <w:kern w:val="0"/>
          <w:sz w:val="22"/>
          <w:szCs w:val="28"/>
          <w:highlight w:val="none"/>
        </w:rPr>
        <w:t>供应商单位</w:t>
      </w:r>
      <w:r>
        <w:rPr>
          <w:rFonts w:hint="eastAsia" w:ascii="宋体" w:hAnsi="宋体" w:eastAsia="宋体" w:cs="宋体"/>
          <w:color w:val="auto"/>
          <w:kern w:val="0"/>
          <w:sz w:val="22"/>
          <w:szCs w:val="22"/>
          <w:highlight w:val="none"/>
        </w:rPr>
        <w:t>章，在规定时间内密封递交给磋商小组</w:t>
      </w:r>
      <w:r>
        <w:rPr>
          <w:rFonts w:hint="eastAsia" w:ascii="宋体" w:hAnsi="宋体" w:eastAsia="宋体" w:cs="宋体"/>
          <w:bCs/>
          <w:color w:val="auto"/>
          <w:sz w:val="22"/>
          <w:szCs w:val="22"/>
          <w:highlight w:val="none"/>
        </w:rPr>
        <w:t>。</w:t>
      </w:r>
    </w:p>
    <w:p>
      <w:pPr>
        <w:pageBreakBefore w:val="0"/>
        <w:widowControl/>
        <w:kinsoku/>
        <w:wordWrap/>
        <w:overflowPunct/>
        <w:bidi w:val="0"/>
        <w:adjustRightInd w:val="0"/>
        <w:snapToGrid w:val="0"/>
        <w:spacing w:line="360" w:lineRule="auto"/>
        <w:ind w:firstLine="42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30.4</w:t>
      </w:r>
      <w:r>
        <w:rPr>
          <w:rFonts w:hint="eastAsia" w:ascii="宋体" w:hAnsi="宋体" w:eastAsia="宋体" w:cs="宋体"/>
          <w:color w:val="auto"/>
          <w:kern w:val="0"/>
          <w:sz w:val="22"/>
          <w:szCs w:val="22"/>
          <w:highlight w:val="none"/>
          <w:lang w:val="zh-CN"/>
        </w:rPr>
        <w:t>供应商的</w:t>
      </w:r>
      <w:r>
        <w:rPr>
          <w:rFonts w:hint="eastAsia" w:ascii="宋体" w:hAnsi="宋体" w:eastAsia="宋体" w:cs="宋体"/>
          <w:bCs/>
          <w:color w:val="auto"/>
          <w:sz w:val="22"/>
          <w:szCs w:val="22"/>
          <w:highlight w:val="none"/>
        </w:rPr>
        <w:t>最</w:t>
      </w:r>
      <w:r>
        <w:rPr>
          <w:rFonts w:hint="eastAsia" w:ascii="宋体" w:hAnsi="宋体" w:eastAsia="宋体" w:cs="宋体"/>
          <w:color w:val="auto"/>
          <w:kern w:val="0"/>
          <w:sz w:val="22"/>
          <w:szCs w:val="22"/>
          <w:highlight w:val="none"/>
          <w:lang w:val="zh-CN"/>
        </w:rPr>
        <w:t>后</w:t>
      </w:r>
      <w:r>
        <w:rPr>
          <w:rFonts w:hint="eastAsia" w:ascii="宋体" w:hAnsi="宋体" w:eastAsia="宋体" w:cs="宋体"/>
          <w:bCs/>
          <w:color w:val="auto"/>
          <w:sz w:val="22"/>
          <w:szCs w:val="22"/>
          <w:highlight w:val="none"/>
        </w:rPr>
        <w:t>报价及</w:t>
      </w:r>
      <w:r>
        <w:rPr>
          <w:rFonts w:hint="eastAsia" w:ascii="宋体" w:hAnsi="宋体" w:eastAsia="宋体" w:cs="宋体"/>
          <w:color w:val="auto"/>
          <w:kern w:val="0"/>
          <w:sz w:val="22"/>
          <w:szCs w:val="22"/>
          <w:highlight w:val="none"/>
        </w:rPr>
        <w:t>政府采购政策规定的价格扣除情况，磋商小组应召集所有参加最后报价的供应商当场开封</w:t>
      </w:r>
      <w:r>
        <w:rPr>
          <w:rFonts w:hint="eastAsia" w:ascii="宋体" w:hAnsi="宋体" w:eastAsia="宋体" w:cs="宋体"/>
          <w:bCs/>
          <w:color w:val="auto"/>
          <w:sz w:val="22"/>
          <w:szCs w:val="22"/>
          <w:highlight w:val="none"/>
        </w:rPr>
        <w:t>公布，并由供应商代表签字确认。</w:t>
      </w:r>
    </w:p>
    <w:p>
      <w:pPr>
        <w:pageBreakBefore w:val="0"/>
        <w:widowControl/>
        <w:kinsoku/>
        <w:wordWrap/>
        <w:overflowPunct/>
        <w:bidi w:val="0"/>
        <w:adjustRightInd w:val="0"/>
        <w:snapToGrid w:val="0"/>
        <w:spacing w:line="360" w:lineRule="auto"/>
        <w:ind w:firstLine="42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30.5提交首次响应文件的供应商，在提交最后报价之前，可以根据磋商情况退出磋商，</w:t>
      </w:r>
      <w:r>
        <w:rPr>
          <w:rFonts w:hint="eastAsia" w:ascii="宋体" w:hAnsi="宋体" w:eastAsia="宋体" w:cs="宋体"/>
          <w:color w:val="auto"/>
          <w:kern w:val="0"/>
          <w:sz w:val="22"/>
          <w:szCs w:val="28"/>
          <w:highlight w:val="none"/>
        </w:rPr>
        <w:t>并书面通知采购代理机构或者磋商小组。</w:t>
      </w:r>
      <w:r>
        <w:rPr>
          <w:rFonts w:hint="eastAsia" w:ascii="宋体" w:hAnsi="宋体" w:eastAsia="宋体" w:cs="宋体"/>
          <w:color w:val="auto"/>
          <w:sz w:val="22"/>
          <w:szCs w:val="28"/>
          <w:highlight w:val="none"/>
        </w:rPr>
        <w:t>该通知由供应商法定代表人或其委托代理人签字。</w:t>
      </w:r>
      <w:r>
        <w:rPr>
          <w:rFonts w:hint="eastAsia" w:ascii="宋体" w:hAnsi="宋体" w:eastAsia="宋体" w:cs="宋体"/>
          <w:color w:val="auto"/>
          <w:kern w:val="0"/>
          <w:sz w:val="22"/>
          <w:szCs w:val="22"/>
          <w:highlight w:val="none"/>
        </w:rPr>
        <w:t>采购代理机构</w:t>
      </w:r>
      <w:r>
        <w:rPr>
          <w:rFonts w:hint="eastAsia" w:ascii="宋体" w:hAnsi="宋体" w:eastAsia="宋体" w:cs="宋体"/>
          <w:color w:val="auto"/>
          <w:kern w:val="0"/>
          <w:sz w:val="22"/>
          <w:szCs w:val="28"/>
          <w:highlight w:val="none"/>
        </w:rPr>
        <w:t>按</w:t>
      </w:r>
      <w:r>
        <w:rPr>
          <w:rFonts w:hint="eastAsia" w:ascii="宋体" w:hAnsi="宋体" w:eastAsia="宋体" w:cs="宋体"/>
          <w:color w:val="auto"/>
          <w:kern w:val="0"/>
          <w:sz w:val="22"/>
          <w:szCs w:val="22"/>
          <w:highlight w:val="none"/>
        </w:rPr>
        <w:t>本章第</w:t>
      </w:r>
      <w:r>
        <w:rPr>
          <w:rFonts w:hint="eastAsia" w:ascii="宋体" w:hAnsi="宋体" w:eastAsia="宋体" w:cs="宋体"/>
          <w:color w:val="auto"/>
          <w:sz w:val="22"/>
          <w:szCs w:val="28"/>
          <w:highlight w:val="none"/>
        </w:rPr>
        <w:t>19.4</w:t>
      </w:r>
      <w:r>
        <w:rPr>
          <w:rFonts w:hint="eastAsia" w:ascii="宋体" w:hAnsi="宋体" w:eastAsia="宋体" w:cs="宋体"/>
          <w:color w:val="auto"/>
          <w:kern w:val="0"/>
          <w:sz w:val="22"/>
          <w:szCs w:val="22"/>
          <w:highlight w:val="none"/>
          <w:lang w:val="zh-CN"/>
        </w:rPr>
        <w:t>款</w:t>
      </w:r>
      <w:r>
        <w:rPr>
          <w:rFonts w:hint="eastAsia" w:ascii="宋体" w:hAnsi="宋体" w:eastAsia="宋体" w:cs="宋体"/>
          <w:color w:val="auto"/>
          <w:sz w:val="22"/>
          <w:szCs w:val="28"/>
          <w:highlight w:val="none"/>
        </w:rPr>
        <w:t>规定</w:t>
      </w:r>
      <w:r>
        <w:rPr>
          <w:rFonts w:hint="eastAsia" w:ascii="宋体" w:hAnsi="宋体" w:eastAsia="宋体" w:cs="宋体"/>
          <w:color w:val="auto"/>
          <w:kern w:val="0"/>
          <w:sz w:val="22"/>
          <w:szCs w:val="22"/>
          <w:highlight w:val="none"/>
        </w:rPr>
        <w:t>退还退出磋商的供应商的磋商保证金。</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bCs/>
          <w:color w:val="auto"/>
          <w:sz w:val="22"/>
          <w:szCs w:val="22"/>
          <w:highlight w:val="none"/>
        </w:rPr>
        <w:t>30.6</w:t>
      </w:r>
      <w:r>
        <w:rPr>
          <w:rFonts w:hint="eastAsia" w:ascii="宋体" w:hAnsi="宋体" w:eastAsia="宋体" w:cs="宋体"/>
          <w:color w:val="auto"/>
          <w:kern w:val="0"/>
          <w:sz w:val="22"/>
          <w:szCs w:val="22"/>
          <w:highlight w:val="none"/>
        </w:rPr>
        <w:t>提交首次响应文件的供应商，未按磋商文件规定及磋商小组要求提交最后报价(或者</w:t>
      </w:r>
      <w:r>
        <w:rPr>
          <w:rFonts w:hint="eastAsia" w:ascii="宋体" w:hAnsi="宋体" w:eastAsia="宋体" w:cs="宋体"/>
          <w:bCs/>
          <w:color w:val="auto"/>
          <w:sz w:val="22"/>
          <w:szCs w:val="22"/>
          <w:highlight w:val="none"/>
        </w:rPr>
        <w:t>重</w:t>
      </w:r>
      <w:r>
        <w:rPr>
          <w:rFonts w:hint="eastAsia" w:ascii="宋体" w:hAnsi="宋体" w:eastAsia="宋体" w:cs="宋体"/>
          <w:color w:val="auto"/>
          <w:kern w:val="0"/>
          <w:sz w:val="22"/>
          <w:szCs w:val="22"/>
          <w:highlight w:val="none"/>
        </w:rPr>
        <w:t>新提交的响应文件和最后报价)，且又</w:t>
      </w:r>
      <w:r>
        <w:rPr>
          <w:rFonts w:hint="eastAsia" w:ascii="宋体" w:hAnsi="宋体" w:eastAsia="宋体" w:cs="宋体"/>
          <w:color w:val="auto"/>
          <w:kern w:val="0"/>
          <w:sz w:val="22"/>
          <w:szCs w:val="28"/>
          <w:highlight w:val="none"/>
        </w:rPr>
        <w:t>未按</w:t>
      </w:r>
      <w:r>
        <w:rPr>
          <w:rFonts w:hint="eastAsia" w:ascii="宋体" w:hAnsi="宋体" w:eastAsia="宋体" w:cs="宋体"/>
          <w:color w:val="auto"/>
          <w:kern w:val="0"/>
          <w:sz w:val="22"/>
          <w:szCs w:val="22"/>
          <w:highlight w:val="none"/>
        </w:rPr>
        <w:t>本章第</w:t>
      </w:r>
      <w:r>
        <w:rPr>
          <w:rFonts w:hint="eastAsia" w:ascii="宋体" w:hAnsi="宋体" w:eastAsia="宋体" w:cs="宋体"/>
          <w:color w:val="auto"/>
          <w:sz w:val="22"/>
          <w:szCs w:val="28"/>
          <w:highlight w:val="none"/>
        </w:rPr>
        <w:t>30.5</w:t>
      </w:r>
      <w:r>
        <w:rPr>
          <w:rFonts w:hint="eastAsia" w:ascii="宋体" w:hAnsi="宋体" w:eastAsia="宋体" w:cs="宋体"/>
          <w:color w:val="auto"/>
          <w:kern w:val="0"/>
          <w:sz w:val="22"/>
          <w:szCs w:val="22"/>
          <w:highlight w:val="none"/>
          <w:lang w:val="zh-CN"/>
        </w:rPr>
        <w:t>款</w:t>
      </w:r>
      <w:r>
        <w:rPr>
          <w:rFonts w:hint="eastAsia" w:ascii="宋体" w:hAnsi="宋体" w:eastAsia="宋体" w:cs="宋体"/>
          <w:color w:val="auto"/>
          <w:sz w:val="22"/>
          <w:szCs w:val="28"/>
          <w:highlight w:val="none"/>
        </w:rPr>
        <w:t>规定</w:t>
      </w:r>
      <w:r>
        <w:rPr>
          <w:rFonts w:hint="eastAsia" w:ascii="宋体" w:hAnsi="宋体" w:eastAsia="宋体" w:cs="宋体"/>
          <w:color w:val="auto"/>
          <w:kern w:val="0"/>
          <w:sz w:val="22"/>
          <w:szCs w:val="22"/>
          <w:highlight w:val="none"/>
        </w:rPr>
        <w:t>退出磋商的，供应商的磋商保证金不予退还。</w:t>
      </w:r>
    </w:p>
    <w:p>
      <w:pPr>
        <w:pageBreakBefore w:val="0"/>
        <w:widowControl/>
        <w:kinsoku/>
        <w:wordWrap/>
        <w:overflowPunct/>
        <w:bidi w:val="0"/>
        <w:adjustRightInd w:val="0"/>
        <w:snapToGrid w:val="0"/>
        <w:spacing w:line="360" w:lineRule="auto"/>
        <w:jc w:val="left"/>
        <w:textAlignment w:val="auto"/>
        <w:rPr>
          <w:rFonts w:hint="eastAsia" w:ascii="宋体" w:hAnsi="宋体" w:eastAsia="宋体" w:cs="宋体"/>
          <w:b/>
          <w:bCs/>
          <w:color w:val="auto"/>
          <w:sz w:val="22"/>
          <w:szCs w:val="22"/>
          <w:highlight w:val="none"/>
        </w:rPr>
      </w:pPr>
      <w:r>
        <w:rPr>
          <w:rFonts w:hint="eastAsia" w:ascii="宋体" w:hAnsi="宋体" w:eastAsia="宋体" w:cs="宋体"/>
          <w:b/>
          <w:color w:val="auto"/>
          <w:kern w:val="0"/>
          <w:sz w:val="22"/>
          <w:szCs w:val="22"/>
          <w:highlight w:val="none"/>
        </w:rPr>
        <w:t>31.响应文件评审</w:t>
      </w:r>
    </w:p>
    <w:p>
      <w:pPr>
        <w:pageBreakBefore w:val="0"/>
        <w:widowControl/>
        <w:kinsoku/>
        <w:wordWrap/>
        <w:overflowPunct/>
        <w:bidi w:val="0"/>
        <w:adjustRightInd w:val="0"/>
        <w:snapToGrid w:val="0"/>
        <w:spacing w:line="360" w:lineRule="auto"/>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31.1经磋商确定最终采购需求和提交最后报价的供应商后，由磋商小组采用综合评分法对提交最后报价的供应商的响应文件和最后报价进行综合评价。</w:t>
      </w:r>
    </w:p>
    <w:p>
      <w:pPr>
        <w:pageBreakBefore w:val="0"/>
        <w:widowControl/>
        <w:kinsoku/>
        <w:wordWrap/>
        <w:overflowPunct/>
        <w:bidi w:val="0"/>
        <w:adjustRightInd w:val="0"/>
        <w:snapToGrid w:val="0"/>
        <w:spacing w:line="360" w:lineRule="auto"/>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eastAsia="宋体" w:cs="宋体"/>
          <w:b/>
          <w:bCs/>
          <w:color w:val="auto"/>
          <w:sz w:val="22"/>
          <w:szCs w:val="22"/>
          <w:highlight w:val="none"/>
        </w:rPr>
        <w:t>磋商须知前附表。</w:t>
      </w:r>
    </w:p>
    <w:p>
      <w:pPr>
        <w:pageBreakBefore w:val="0"/>
        <w:widowControl/>
        <w:kinsoku/>
        <w:wordWrap/>
        <w:overflowPunct/>
        <w:bidi w:val="0"/>
        <w:adjustRightInd w:val="0"/>
        <w:snapToGrid w:val="0"/>
        <w:spacing w:before="156" w:beforeLines="50" w:line="360" w:lineRule="auto"/>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2"/>
          <w:highlight w:val="none"/>
        </w:rPr>
        <w:t>31.3</w:t>
      </w:r>
      <w:r>
        <w:rPr>
          <w:rFonts w:hint="eastAsia" w:ascii="宋体" w:hAnsi="宋体" w:eastAsia="宋体" w:cs="宋体"/>
          <w:color w:val="auto"/>
          <w:sz w:val="22"/>
          <w:szCs w:val="22"/>
          <w:highlight w:val="none"/>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eastAsia="宋体" w:cs="宋体"/>
          <w:b/>
          <w:color w:val="auto"/>
          <w:sz w:val="22"/>
          <w:szCs w:val="22"/>
          <w:highlight w:val="none"/>
        </w:rPr>
        <w:t>磋商须知前附表</w:t>
      </w:r>
      <w:r>
        <w:rPr>
          <w:rFonts w:hint="eastAsia" w:ascii="宋体" w:hAnsi="宋体" w:eastAsia="宋体" w:cs="宋体"/>
          <w:color w:val="auto"/>
          <w:sz w:val="22"/>
          <w:szCs w:val="22"/>
          <w:highlight w:val="none"/>
        </w:rPr>
        <w:t>。</w:t>
      </w:r>
    </w:p>
    <w:p>
      <w:pPr>
        <w:pageBreakBefore w:val="0"/>
        <w:widowControl/>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31.4综合评分法中的价格分采用低价优先法计算，即满足磋商文件要求且经调整后的最后报价最低的供应商的价格为磋商基准价，其价格分为满分。其他供应商的价格分按照下列公式计算：</w:t>
      </w:r>
    </w:p>
    <w:p>
      <w:pPr>
        <w:pageBreakBefore w:val="0"/>
        <w:widowControl/>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磋商报价得分=（磋商基准价/最后磋商报价）×价格权值×100</w:t>
      </w:r>
    </w:p>
    <w:p>
      <w:pPr>
        <w:pageBreakBefore w:val="0"/>
        <w:widowControl/>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项目评审过程中，不得去掉最后报价中的最高报价和最低报价。</w:t>
      </w:r>
    </w:p>
    <w:p>
      <w:pPr>
        <w:pageBreakBefore w:val="0"/>
        <w:widowControl/>
        <w:kinsoku/>
        <w:wordWrap/>
        <w:overflowPunct/>
        <w:bidi w:val="0"/>
        <w:adjustRightInd w:val="0"/>
        <w:snapToGrid w:val="0"/>
        <w:spacing w:before="156" w:beforeLines="50"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31.5</w:t>
      </w:r>
      <w:r>
        <w:rPr>
          <w:rFonts w:hint="eastAsia" w:ascii="宋体" w:hAnsi="宋体" w:eastAsia="宋体" w:cs="宋体"/>
          <w:color w:val="auto"/>
          <w:sz w:val="22"/>
          <w:szCs w:val="22"/>
          <w:highlight w:val="none"/>
        </w:rPr>
        <w:t>涉及政府采购政策优惠对供应商分值进行调整的，</w:t>
      </w:r>
      <w:r>
        <w:rPr>
          <w:rFonts w:hint="eastAsia" w:ascii="宋体" w:hAnsi="宋体" w:eastAsia="宋体" w:cs="宋体"/>
          <w:bCs/>
          <w:color w:val="auto"/>
          <w:sz w:val="22"/>
          <w:szCs w:val="22"/>
          <w:highlight w:val="none"/>
        </w:rPr>
        <w:t>按</w:t>
      </w:r>
      <w:r>
        <w:rPr>
          <w:rFonts w:hint="eastAsia" w:ascii="宋体" w:hAnsi="宋体" w:eastAsia="宋体" w:cs="宋体"/>
          <w:b/>
          <w:color w:val="auto"/>
          <w:sz w:val="22"/>
          <w:szCs w:val="22"/>
          <w:highlight w:val="none"/>
        </w:rPr>
        <w:t>磋商须知前附表</w:t>
      </w:r>
      <w:r>
        <w:rPr>
          <w:rFonts w:hint="eastAsia" w:ascii="宋体" w:hAnsi="宋体" w:eastAsia="宋体" w:cs="宋体"/>
          <w:bCs/>
          <w:color w:val="auto"/>
          <w:sz w:val="22"/>
          <w:szCs w:val="22"/>
          <w:highlight w:val="none"/>
        </w:rPr>
        <w:t>规定</w:t>
      </w:r>
      <w:r>
        <w:rPr>
          <w:rFonts w:hint="eastAsia" w:ascii="宋体" w:hAnsi="宋体" w:eastAsia="宋体" w:cs="宋体"/>
          <w:color w:val="auto"/>
          <w:sz w:val="22"/>
          <w:szCs w:val="22"/>
          <w:highlight w:val="none"/>
        </w:rPr>
        <w:t>调整供应商的技术、商务、价格</w:t>
      </w:r>
      <w:r>
        <w:rPr>
          <w:rFonts w:hint="eastAsia" w:ascii="宋体" w:hAnsi="宋体" w:eastAsia="宋体" w:cs="宋体"/>
          <w:color w:val="auto"/>
          <w:kern w:val="0"/>
          <w:sz w:val="22"/>
          <w:szCs w:val="22"/>
          <w:highlight w:val="none"/>
        </w:rPr>
        <w:t>得分或总得分</w:t>
      </w:r>
      <w:r>
        <w:rPr>
          <w:rFonts w:hint="eastAsia" w:ascii="宋体" w:hAnsi="宋体" w:eastAsia="宋体" w:cs="宋体"/>
          <w:color w:val="auto"/>
          <w:sz w:val="22"/>
          <w:szCs w:val="22"/>
          <w:highlight w:val="none"/>
        </w:rPr>
        <w:t>。</w:t>
      </w:r>
    </w:p>
    <w:p>
      <w:pPr>
        <w:pageBreakBefore w:val="0"/>
        <w:kinsoku/>
        <w:wordWrap/>
        <w:overflowPunct/>
        <w:bidi w:val="0"/>
        <w:adjustRightInd w:val="0"/>
        <w:snapToGrid w:val="0"/>
        <w:spacing w:before="156" w:beforeLines="5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31.6涉及多处或部分获得政府采购政策优惠的，其多处或部分享受政府采购优惠政策的计算方法见</w:t>
      </w:r>
      <w:r>
        <w:rPr>
          <w:rFonts w:hint="eastAsia" w:ascii="宋体" w:hAnsi="宋体" w:eastAsia="宋体" w:cs="宋体"/>
          <w:b/>
          <w:color w:val="auto"/>
          <w:sz w:val="22"/>
          <w:szCs w:val="22"/>
          <w:highlight w:val="none"/>
        </w:rPr>
        <w:t>磋商须知前附表</w:t>
      </w:r>
      <w:r>
        <w:rPr>
          <w:rFonts w:hint="eastAsia" w:ascii="宋体" w:hAnsi="宋体" w:eastAsia="宋体" w:cs="宋体"/>
          <w:color w:val="auto"/>
          <w:sz w:val="22"/>
          <w:szCs w:val="22"/>
          <w:highlight w:val="none"/>
        </w:rPr>
        <w:t>相关规定。</w:t>
      </w:r>
    </w:p>
    <w:p>
      <w:pPr>
        <w:pageBreakBefore w:val="0"/>
        <w:widowControl/>
        <w:kinsoku/>
        <w:wordWrap/>
        <w:overflowPunct/>
        <w:bidi w:val="0"/>
        <w:adjustRightInd w:val="0"/>
        <w:snapToGrid w:val="0"/>
        <w:spacing w:before="156" w:beforeLines="50"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31.7</w:t>
      </w:r>
      <w:r>
        <w:rPr>
          <w:rFonts w:hint="eastAsia" w:ascii="宋体" w:hAnsi="宋体" w:eastAsia="宋体" w:cs="宋体"/>
          <w:color w:val="auto"/>
          <w:sz w:val="22"/>
          <w:szCs w:val="22"/>
          <w:highlight w:val="none"/>
        </w:rPr>
        <w:t>评审时，磋商小组各成员应当独立对每个供应商的</w:t>
      </w:r>
      <w:r>
        <w:rPr>
          <w:rFonts w:hint="eastAsia" w:ascii="宋体" w:hAnsi="宋体" w:eastAsia="宋体" w:cs="宋体"/>
          <w:bCs/>
          <w:color w:val="auto"/>
          <w:sz w:val="22"/>
          <w:szCs w:val="22"/>
          <w:highlight w:val="none"/>
        </w:rPr>
        <w:t>响应文件</w:t>
      </w:r>
      <w:r>
        <w:rPr>
          <w:rFonts w:hint="eastAsia" w:ascii="宋体" w:hAnsi="宋体" w:eastAsia="宋体" w:cs="宋体"/>
          <w:color w:val="auto"/>
          <w:sz w:val="22"/>
          <w:szCs w:val="22"/>
          <w:highlight w:val="none"/>
        </w:rPr>
        <w:t>进行评价、评分，并按照政府采购优惠政策对最后报价进行价格扣除和技术、商务、价格加分后，汇总各供应商的总得分。</w:t>
      </w:r>
    </w:p>
    <w:p>
      <w:pPr>
        <w:pageBreakBefore w:val="0"/>
        <w:widowControl/>
        <w:kinsoku/>
        <w:wordWrap/>
        <w:overflowPunct/>
        <w:bidi w:val="0"/>
        <w:adjustRightInd w:val="0"/>
        <w:snapToGrid w:val="0"/>
        <w:spacing w:line="360" w:lineRule="auto"/>
        <w:jc w:val="lef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32</w:t>
      </w:r>
      <w:r>
        <w:rPr>
          <w:rFonts w:hint="eastAsia" w:ascii="宋体" w:hAnsi="宋体" w:eastAsia="宋体" w:cs="宋体"/>
          <w:b/>
          <w:color w:val="auto"/>
          <w:kern w:val="0"/>
          <w:sz w:val="22"/>
          <w:szCs w:val="22"/>
          <w:highlight w:val="none"/>
        </w:rPr>
        <w:t>.</w:t>
      </w:r>
      <w:r>
        <w:rPr>
          <w:rFonts w:hint="eastAsia" w:ascii="宋体" w:hAnsi="宋体" w:eastAsia="宋体" w:cs="宋体"/>
          <w:b/>
          <w:bCs/>
          <w:color w:val="auto"/>
          <w:sz w:val="22"/>
          <w:szCs w:val="22"/>
          <w:highlight w:val="none"/>
        </w:rPr>
        <w:t>提出成交供应商</w:t>
      </w:r>
    </w:p>
    <w:p>
      <w:pPr>
        <w:pageBreakBefore w:val="0"/>
        <w:widowControl/>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32.1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库〔2014〕214号)和《财政部关于政府采购竞争性磋商采购方式管理暂行办法有关问题的补充通知》（财库〔2015〕124号）所列“政府购买服务项目（含政府和社会资本合作项目）、市场竞争不充分的科研项目以及需要扶持的科技成果转化项目”情形的，可以推荐2家成交候选供应商。</w:t>
      </w:r>
    </w:p>
    <w:p>
      <w:pPr>
        <w:pageBreakBefore w:val="0"/>
        <w:tabs>
          <w:tab w:val="left" w:pos="0"/>
        </w:tabs>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33.确定成交供应商</w:t>
      </w:r>
    </w:p>
    <w:p>
      <w:pPr>
        <w:pageBreakBefore w:val="0"/>
        <w:widowControl/>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33.1采购代理机构应当在评审结束后2个工作日内将评审报告送采购人确认。</w:t>
      </w:r>
    </w:p>
    <w:p>
      <w:pPr>
        <w:pageBreakBefore w:val="0"/>
        <w:widowControl/>
        <w:kinsoku/>
        <w:wordWrap/>
        <w:overflowPunct/>
        <w:bidi w:val="0"/>
        <w:adjustRightInd w:val="0"/>
        <w:snapToGrid w:val="0"/>
        <w:spacing w:line="360" w:lineRule="auto"/>
        <w:ind w:firstLine="42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33.2采购人应当在收到评审报告后5个工作日内，从评审报告提出的成交候选供应商中，按照排序由高到低的原则确定成交供应商，也可以书面授权磋商小组直接确定成交供应商。</w:t>
      </w:r>
    </w:p>
    <w:p>
      <w:pPr>
        <w:pStyle w:val="20"/>
        <w:pageBreakBefore w:val="0"/>
        <w:kinsoku/>
        <w:wordWrap/>
        <w:overflowPunct/>
        <w:bidi w:val="0"/>
        <w:adjustRightInd w:val="0"/>
        <w:snapToGrid w:val="0"/>
        <w:spacing w:line="360" w:lineRule="auto"/>
        <w:ind w:left="632" w:hanging="663" w:hangingChars="3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34.磋商终止</w:t>
      </w:r>
    </w:p>
    <w:p>
      <w:pPr>
        <w:pageBreakBefore w:val="0"/>
        <w:widowControl/>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bCs/>
          <w:color w:val="auto"/>
          <w:sz w:val="22"/>
          <w:szCs w:val="22"/>
          <w:highlight w:val="none"/>
        </w:rPr>
        <w:t>34.1</w:t>
      </w:r>
      <w:r>
        <w:rPr>
          <w:rFonts w:hint="eastAsia" w:ascii="宋体" w:hAnsi="宋体" w:eastAsia="宋体" w:cs="宋体"/>
          <w:color w:val="auto"/>
          <w:kern w:val="0"/>
          <w:sz w:val="22"/>
          <w:szCs w:val="22"/>
          <w:highlight w:val="none"/>
        </w:rPr>
        <w:t>出现下列情形之一的，采购人或者采购代理机构应当终止竞争性磋商采购活动，</w:t>
      </w:r>
      <w:r>
        <w:rPr>
          <w:rFonts w:hint="eastAsia" w:ascii="宋体" w:hAnsi="宋体" w:eastAsia="宋体" w:cs="宋体"/>
          <w:color w:val="auto"/>
          <w:sz w:val="22"/>
          <w:szCs w:val="28"/>
          <w:highlight w:val="none"/>
        </w:rPr>
        <w:t>在本章第37.1款指定的媒体上</w:t>
      </w:r>
      <w:r>
        <w:rPr>
          <w:rFonts w:hint="eastAsia" w:ascii="宋体" w:hAnsi="宋体" w:eastAsia="宋体" w:cs="宋体"/>
          <w:color w:val="auto"/>
          <w:kern w:val="0"/>
          <w:sz w:val="22"/>
          <w:szCs w:val="22"/>
          <w:highlight w:val="none"/>
        </w:rPr>
        <w:t xml:space="preserve">发布项目终止公告并说明原因，重新开展采购活动： </w:t>
      </w:r>
    </w:p>
    <w:p>
      <w:pPr>
        <w:pageBreakBefore w:val="0"/>
        <w:widowControl/>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（1）因情况变化，不再符合规定的竞争性磋商采购方式适用情形的；</w:t>
      </w:r>
    </w:p>
    <w:p>
      <w:pPr>
        <w:pageBreakBefore w:val="0"/>
        <w:widowControl/>
        <w:kinsoku/>
        <w:wordWrap/>
        <w:overflowPunct/>
        <w:bidi w:val="0"/>
        <w:adjustRightInd w:val="0"/>
        <w:snapToGrid w:val="0"/>
        <w:spacing w:line="360" w:lineRule="auto"/>
        <w:ind w:firstLine="42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（2）出现影响采购公正的违法、违规行为的；</w:t>
      </w:r>
    </w:p>
    <w:p>
      <w:pPr>
        <w:pageBreakBefore w:val="0"/>
        <w:widowControl/>
        <w:kinsoku/>
        <w:wordWrap/>
        <w:overflowPunct/>
        <w:bidi w:val="0"/>
        <w:adjustRightInd w:val="0"/>
        <w:snapToGrid w:val="0"/>
        <w:spacing w:line="360" w:lineRule="auto"/>
        <w:ind w:firstLine="420"/>
        <w:jc w:val="left"/>
        <w:textAlignment w:val="auto"/>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2"/>
          <w:highlight w:val="none"/>
        </w:rPr>
        <w:t>（3）</w:t>
      </w:r>
      <w:r>
        <w:rPr>
          <w:rFonts w:hint="eastAsia" w:ascii="宋体" w:hAnsi="宋体" w:eastAsia="宋体" w:cs="宋体"/>
          <w:bCs/>
          <w:color w:val="auto"/>
          <w:sz w:val="22"/>
          <w:szCs w:val="22"/>
          <w:highlight w:val="none"/>
        </w:rPr>
        <w:t>除《政府采购竞争性磋商采购方式管理暂行办法》(财库〔2014〕214号)</w:t>
      </w:r>
      <w:r>
        <w:rPr>
          <w:rFonts w:hint="eastAsia" w:ascii="宋体" w:hAnsi="宋体" w:eastAsia="宋体" w:cs="宋体"/>
          <w:color w:val="auto"/>
          <w:kern w:val="0"/>
          <w:sz w:val="22"/>
          <w:szCs w:val="22"/>
          <w:highlight w:val="none"/>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eastAsia="宋体" w:cs="宋体"/>
          <w:bCs/>
          <w:color w:val="auto"/>
          <w:sz w:val="22"/>
          <w:szCs w:val="22"/>
          <w:highlight w:val="none"/>
        </w:rPr>
        <w:t>情形外，在采购过程中符合要求的供应商或者报价未超过采购预算的供应商不足3家的；</w:t>
      </w:r>
    </w:p>
    <w:p>
      <w:pPr>
        <w:pageBreakBefore w:val="0"/>
        <w:widowControl/>
        <w:kinsoku/>
        <w:wordWrap/>
        <w:overflowPunct/>
        <w:bidi w:val="0"/>
        <w:adjustRightInd w:val="0"/>
        <w:snapToGrid w:val="0"/>
        <w:spacing w:line="360" w:lineRule="auto"/>
        <w:ind w:firstLine="420"/>
        <w:jc w:val="left"/>
        <w:textAlignment w:val="auto"/>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2"/>
          <w:highlight w:val="none"/>
        </w:rPr>
        <w:t>（4）因重大变故，采购任务取消的。</w:t>
      </w:r>
    </w:p>
    <w:p>
      <w:pPr>
        <w:pageBreakBefore w:val="0"/>
        <w:widowControl/>
        <w:kinsoku/>
        <w:wordWrap/>
        <w:overflowPunct/>
        <w:bidi w:val="0"/>
        <w:adjustRightInd w:val="0"/>
        <w:snapToGrid w:val="0"/>
        <w:spacing w:line="360" w:lineRule="auto"/>
        <w:jc w:val="left"/>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35．重新评审</w:t>
      </w:r>
    </w:p>
    <w:p>
      <w:pPr>
        <w:pageBreakBefore w:val="0"/>
        <w:widowControl/>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pPr>
        <w:pageBreakBefore w:val="0"/>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36.保密及串通行为</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36.1磋商小组成员以及与评审工作有关的人员不得泄露评审情况以及评审过程中获悉的国家秘密、商业秘密。</w:t>
      </w:r>
    </w:p>
    <w:p>
      <w:pPr>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36.2</w:t>
      </w:r>
      <w:r>
        <w:rPr>
          <w:rFonts w:hint="eastAsia" w:ascii="宋体" w:hAnsi="宋体" w:eastAsia="宋体" w:cs="宋体"/>
          <w:color w:val="auto"/>
          <w:kern w:val="0"/>
          <w:sz w:val="22"/>
          <w:szCs w:val="22"/>
          <w:highlight w:val="none"/>
        </w:rPr>
        <w:t>供应商</w:t>
      </w:r>
      <w:r>
        <w:rPr>
          <w:rFonts w:hint="eastAsia" w:ascii="宋体" w:hAnsi="宋体" w:eastAsia="宋体" w:cs="宋体"/>
          <w:color w:val="auto"/>
          <w:sz w:val="22"/>
          <w:szCs w:val="22"/>
          <w:highlight w:val="none"/>
        </w:rPr>
        <w:t>不得与</w:t>
      </w:r>
      <w:r>
        <w:rPr>
          <w:rFonts w:hint="eastAsia" w:ascii="宋体" w:hAnsi="宋体" w:eastAsia="宋体" w:cs="宋体"/>
          <w:color w:val="auto"/>
          <w:kern w:val="0"/>
          <w:sz w:val="22"/>
          <w:szCs w:val="22"/>
          <w:highlight w:val="none"/>
        </w:rPr>
        <w:t>采购人、采购代理机构、其他供应商恶意</w:t>
      </w:r>
      <w:r>
        <w:rPr>
          <w:rFonts w:hint="eastAsia" w:ascii="宋体" w:hAnsi="宋体" w:eastAsia="宋体" w:cs="宋体"/>
          <w:color w:val="auto"/>
          <w:sz w:val="22"/>
          <w:szCs w:val="22"/>
          <w:highlight w:val="none"/>
        </w:rPr>
        <w:t>串通；不得向</w:t>
      </w:r>
      <w:r>
        <w:rPr>
          <w:rFonts w:hint="eastAsia" w:ascii="宋体" w:hAnsi="宋体" w:eastAsia="宋体" w:cs="宋体"/>
          <w:color w:val="auto"/>
          <w:kern w:val="0"/>
          <w:sz w:val="22"/>
          <w:szCs w:val="22"/>
          <w:highlight w:val="none"/>
        </w:rPr>
        <w:t>采购人、采购代理机构</w:t>
      </w:r>
      <w:r>
        <w:rPr>
          <w:rFonts w:hint="eastAsia" w:ascii="宋体" w:hAnsi="宋体" w:eastAsia="宋体" w:cs="宋体"/>
          <w:color w:val="auto"/>
          <w:sz w:val="22"/>
          <w:szCs w:val="22"/>
          <w:highlight w:val="none"/>
        </w:rPr>
        <w:t>或者磋商小组成员行贿或者提供其他不正当利益；不得提供虚假资料谋取成交；不得以任何方式干扰、影响采购工作。</w:t>
      </w:r>
    </w:p>
    <w:p>
      <w:pPr>
        <w:pStyle w:val="28"/>
        <w:pageBreakBefore w:val="0"/>
        <w:kinsoku/>
        <w:wordWrap/>
        <w:overflowPunct/>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36.3</w:t>
      </w:r>
      <w:r>
        <w:rPr>
          <w:rFonts w:hint="eastAsia" w:ascii="宋体" w:hAnsi="宋体" w:eastAsia="宋体" w:cs="宋体"/>
          <w:color w:val="auto"/>
          <w:sz w:val="22"/>
          <w:szCs w:val="22"/>
          <w:highlight w:val="none"/>
          <w:lang w:val="zh-CN"/>
        </w:rPr>
        <w:t>有下列情形之一的，属于恶意串通，对供应商依照政府采购法第七十七条第一款的规定追究法律责任：</w:t>
      </w:r>
    </w:p>
    <w:p>
      <w:pPr>
        <w:pStyle w:val="28"/>
        <w:pageBreakBefore w:val="0"/>
        <w:kinsoku/>
        <w:wordWrap/>
        <w:overflowPunct/>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（一）供应商直接或者间接从采购人或者采购代理机构处获得其他供应商的相关情况并修改其投标文件或者响应文件；</w:t>
      </w:r>
    </w:p>
    <w:p>
      <w:pPr>
        <w:pStyle w:val="28"/>
        <w:pageBreakBefore w:val="0"/>
        <w:kinsoku/>
        <w:wordWrap/>
        <w:overflowPunct/>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（二）供应商按照采购人或者采购代理机构的授意撤换、修改投标文件或者响应文件；</w:t>
      </w:r>
    </w:p>
    <w:p>
      <w:pPr>
        <w:pStyle w:val="28"/>
        <w:pageBreakBefore w:val="0"/>
        <w:kinsoku/>
        <w:wordWrap/>
        <w:overflowPunct/>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（三）供应商之间协商报价、技术方案等投标文件或者响应文件的实质性内容；</w:t>
      </w:r>
    </w:p>
    <w:p>
      <w:pPr>
        <w:pStyle w:val="28"/>
        <w:pageBreakBefore w:val="0"/>
        <w:kinsoku/>
        <w:wordWrap/>
        <w:overflowPunct/>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（四）属于同一集团、协会、商会等组织成员的供应商按照该组织要求协同参加政府采购活动；</w:t>
      </w:r>
    </w:p>
    <w:p>
      <w:pPr>
        <w:pStyle w:val="28"/>
        <w:pageBreakBefore w:val="0"/>
        <w:kinsoku/>
        <w:wordWrap/>
        <w:overflowPunct/>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（五）供应商之间事先约定由某一特定供应商中标、成交；</w:t>
      </w:r>
    </w:p>
    <w:p>
      <w:pPr>
        <w:pStyle w:val="28"/>
        <w:pageBreakBefore w:val="0"/>
        <w:kinsoku/>
        <w:wordWrap/>
        <w:overflowPunct/>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（六）供应商之间商定部分供应商放弃参加政府采购活动或者放弃中标、成交；</w:t>
      </w:r>
    </w:p>
    <w:p>
      <w:pPr>
        <w:pStyle w:val="28"/>
        <w:pageBreakBefore w:val="0"/>
        <w:kinsoku/>
        <w:wordWrap/>
        <w:overflowPunct/>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（七）供应商与采购人或者采购代理机构之间、供应商相互之间，为谋求特定供应商中标、成交或者排斥其他供应商的其他串通行为。</w:t>
      </w:r>
    </w:p>
    <w:p>
      <w:pPr>
        <w:pageBreakBefore w:val="0"/>
        <w:kinsoku/>
        <w:wordWrap/>
        <w:overflowPunct/>
        <w:bidi w:val="0"/>
        <w:adjustRightInd w:val="0"/>
        <w:snapToGrid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六、成交结果信息公布与授予合同</w:t>
      </w:r>
    </w:p>
    <w:p>
      <w:pPr>
        <w:pageBreakBefore w:val="0"/>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37.成交信息的公布</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37.1成交供应商确定后2个工作日内，成交结果信息将在</w:t>
      </w:r>
      <w:r>
        <w:rPr>
          <w:rFonts w:hint="eastAsia" w:ascii="宋体" w:hAnsi="宋体" w:eastAsia="宋体" w:cs="宋体"/>
          <w:b/>
          <w:color w:val="auto"/>
          <w:sz w:val="22"/>
          <w:szCs w:val="22"/>
          <w:highlight w:val="none"/>
        </w:rPr>
        <w:t>磋商须知前附表</w:t>
      </w:r>
      <w:r>
        <w:rPr>
          <w:rFonts w:hint="eastAsia" w:ascii="宋体" w:hAnsi="宋体" w:eastAsia="宋体" w:cs="宋体"/>
          <w:color w:val="auto"/>
          <w:sz w:val="22"/>
          <w:szCs w:val="22"/>
          <w:highlight w:val="none"/>
        </w:rPr>
        <w:t>指定的媒体上公布。</w:t>
      </w:r>
    </w:p>
    <w:p>
      <w:pPr>
        <w:pageBreakBefore w:val="0"/>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38.询问及质疑</w:t>
      </w:r>
    </w:p>
    <w:p>
      <w:pPr>
        <w:pageBreakBefore w:val="0"/>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38.1供应商对政府采购活动事项有疑问的，可以向采购人或采购代理机构提出询问。</w:t>
      </w:r>
    </w:p>
    <w:p>
      <w:pPr>
        <w:pageBreakBefore w:val="0"/>
        <w:kinsoku/>
        <w:wordWrap/>
        <w:overflowPunct/>
        <w:bidi w:val="0"/>
        <w:adjustRightInd w:val="0"/>
        <w:snapToGrid w:val="0"/>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38.2供应商若认为磋商文件、采购过程和成交结果使自己的权益受到损害，可以按法律、行政法规及湖南省财政厅规范性文件规定向采购人或采购代理机构提出质疑。</w:t>
      </w:r>
    </w:p>
    <w:p>
      <w:pPr>
        <w:pageBreakBefore w:val="0"/>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39.成交通知</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39.1成交供应商确定后，采购人或采购代理机构将以书面形式向成交供应商发出成交通知书。成交通知书对采购人和成交供应商具有同等法律效力。</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39.2 成交通知书是合同文件的组成部分。</w:t>
      </w:r>
    </w:p>
    <w:p>
      <w:pPr>
        <w:pageBreakBefore w:val="0"/>
        <w:tabs>
          <w:tab w:val="left" w:pos="7560"/>
          <w:tab w:val="left" w:pos="7740"/>
          <w:tab w:val="left" w:pos="7920"/>
        </w:tabs>
        <w:kinsoku/>
        <w:wordWrap/>
        <w:overflowPunct/>
        <w:autoSpaceDN w:val="0"/>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39.3 </w:t>
      </w:r>
      <w:r>
        <w:rPr>
          <w:rFonts w:hint="eastAsia" w:ascii="宋体" w:hAnsi="宋体" w:eastAsia="宋体" w:cs="宋体"/>
          <w:color w:val="auto"/>
          <w:sz w:val="22"/>
          <w:szCs w:val="22"/>
          <w:highlight w:val="none"/>
        </w:rPr>
        <w:t>成交供应商在收到采购代理机构的成交通知书后10日内，应按照</w:t>
      </w:r>
      <w:r>
        <w:rPr>
          <w:rFonts w:hint="eastAsia" w:ascii="宋体" w:hAnsi="宋体" w:eastAsia="宋体" w:cs="宋体"/>
          <w:b/>
          <w:color w:val="auto"/>
          <w:sz w:val="22"/>
          <w:szCs w:val="22"/>
          <w:highlight w:val="none"/>
        </w:rPr>
        <w:t>磋商须知前附表</w:t>
      </w:r>
      <w:r>
        <w:rPr>
          <w:rFonts w:hint="eastAsia" w:ascii="宋体" w:hAnsi="宋体" w:eastAsia="宋体" w:cs="宋体"/>
          <w:color w:val="auto"/>
          <w:sz w:val="22"/>
          <w:szCs w:val="22"/>
          <w:highlight w:val="none"/>
        </w:rPr>
        <w:t>的规定，向采购人提交履约担保。联合体成交的，履约担保由联合体各方或联合体中牵头人的名义提交。</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39.4 成交供应商</w:t>
      </w:r>
      <w:r>
        <w:rPr>
          <w:rFonts w:hint="eastAsia" w:ascii="宋体" w:hAnsi="宋体" w:eastAsia="宋体" w:cs="宋体"/>
          <w:color w:val="auto"/>
          <w:spacing w:val="4"/>
          <w:sz w:val="22"/>
          <w:szCs w:val="22"/>
          <w:highlight w:val="none"/>
        </w:rPr>
        <w:t>没有按照本章第39.3</w:t>
      </w:r>
      <w:r>
        <w:rPr>
          <w:rFonts w:hint="eastAsia" w:ascii="宋体" w:hAnsi="宋体" w:eastAsia="宋体" w:cs="宋体"/>
          <w:color w:val="auto"/>
          <w:kern w:val="0"/>
          <w:sz w:val="22"/>
          <w:szCs w:val="22"/>
          <w:highlight w:val="none"/>
          <w:lang w:val="zh-CN"/>
        </w:rPr>
        <w:t>款</w:t>
      </w:r>
      <w:r>
        <w:rPr>
          <w:rFonts w:hint="eastAsia" w:ascii="宋体" w:hAnsi="宋体" w:eastAsia="宋体" w:cs="宋体"/>
          <w:color w:val="auto"/>
          <w:spacing w:val="4"/>
          <w:sz w:val="22"/>
          <w:szCs w:val="22"/>
          <w:highlight w:val="none"/>
        </w:rPr>
        <w:t>规定</w:t>
      </w:r>
      <w:r>
        <w:rPr>
          <w:rFonts w:hint="eastAsia" w:ascii="宋体" w:hAnsi="宋体" w:eastAsia="宋体" w:cs="宋体"/>
          <w:color w:val="auto"/>
          <w:sz w:val="22"/>
          <w:szCs w:val="22"/>
          <w:highlight w:val="none"/>
        </w:rPr>
        <w:t>提交履约担保的</w:t>
      </w:r>
      <w:r>
        <w:rPr>
          <w:rFonts w:hint="eastAsia" w:ascii="宋体" w:hAnsi="宋体" w:eastAsia="宋体" w:cs="宋体"/>
          <w:color w:val="auto"/>
          <w:spacing w:val="4"/>
          <w:sz w:val="22"/>
          <w:szCs w:val="22"/>
          <w:highlight w:val="none"/>
        </w:rPr>
        <w:t>，视为放弃</w:t>
      </w:r>
      <w:r>
        <w:rPr>
          <w:rFonts w:hint="eastAsia" w:ascii="宋体" w:hAnsi="宋体" w:eastAsia="宋体" w:cs="宋体"/>
          <w:color w:val="auto"/>
          <w:sz w:val="22"/>
          <w:szCs w:val="22"/>
          <w:highlight w:val="none"/>
        </w:rPr>
        <w:t>成交资格</w:t>
      </w:r>
      <w:r>
        <w:rPr>
          <w:rFonts w:hint="eastAsia" w:ascii="宋体" w:hAnsi="宋体" w:eastAsia="宋体" w:cs="宋体"/>
          <w:color w:val="auto"/>
          <w:spacing w:val="4"/>
          <w:sz w:val="22"/>
          <w:szCs w:val="22"/>
          <w:highlight w:val="none"/>
        </w:rPr>
        <w:t>，</w:t>
      </w:r>
      <w:r>
        <w:rPr>
          <w:rFonts w:hint="eastAsia" w:ascii="宋体" w:hAnsi="宋体" w:eastAsia="宋体" w:cs="宋体"/>
          <w:color w:val="auto"/>
          <w:spacing w:val="2"/>
          <w:sz w:val="22"/>
          <w:szCs w:val="22"/>
          <w:highlight w:val="none"/>
        </w:rPr>
        <w:t>其保证金不予退还。</w:t>
      </w:r>
    </w:p>
    <w:p>
      <w:pPr>
        <w:pageBreakBefore w:val="0"/>
        <w:kinsoku/>
        <w:wordWrap/>
        <w:overflowPunct/>
        <w:bidi w:val="0"/>
        <w:adjustRightInd w:val="0"/>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40.签订合同</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40.1成交供应商应当在成交通知书发出之日起30日内与采购人签订政府采购合同。</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40.2磋商文件、成交供应商的响应文件等均为签订政府采购合同的依据。</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40.3 成交供应商应当按照合同约定履行义务。成交供应商不得向他人转让成交项目，也不得将成交项目分包后分别向他人转让。</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40.4 成交供应商有下列情形之一的，责令限期改正，情节严重的，列入不良行为记录名单，在1至3年内禁止参加政府采购活动，并予以通报：</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（一）成交后无正当理由不与采购人签订合同的；</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（二）未按照采购文件确定的事项签订政府采购合同，或者与采购人另行订立背离合同实质性内容的协议的；</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（三）拒绝履行合同义务的；</w:t>
      </w:r>
    </w:p>
    <w:p>
      <w:pPr>
        <w:pStyle w:val="20"/>
        <w:pageBreakBefore w:val="0"/>
        <w:kinsoku/>
        <w:wordWrap/>
        <w:overflowPunct/>
        <w:bidi w:val="0"/>
        <w:adjustRightInd w:val="0"/>
        <w:snapToGrid w:val="0"/>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（四）</w:t>
      </w:r>
      <w:r>
        <w:rPr>
          <w:rFonts w:hint="eastAsia" w:ascii="宋体" w:hAnsi="宋体" w:eastAsia="宋体" w:cs="宋体"/>
          <w:color w:val="auto"/>
          <w:kern w:val="0"/>
          <w:sz w:val="22"/>
          <w:szCs w:val="22"/>
          <w:highlight w:val="none"/>
        </w:rPr>
        <w:t>违反法律、规章、规范性文件规定的。</w:t>
      </w:r>
    </w:p>
    <w:p>
      <w:pPr>
        <w:pageBreakBefore w:val="0"/>
        <w:kinsoku/>
        <w:wordWrap/>
        <w:overflowPunct/>
        <w:bidi w:val="0"/>
        <w:adjustRightInd w:val="0"/>
        <w:snapToGrid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七、其他规定</w:t>
      </w:r>
    </w:p>
    <w:p>
      <w:pPr>
        <w:pageBreakBefore w:val="0"/>
        <w:kinsoku/>
        <w:wordWrap/>
        <w:overflowPunct/>
        <w:bidi w:val="0"/>
        <w:adjustRightInd w:val="0"/>
        <w:snapToGrid w:val="0"/>
        <w:spacing w:line="360" w:lineRule="auto"/>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41.1采购代理服务费</w:t>
      </w:r>
    </w:p>
    <w:p>
      <w:pPr>
        <w:pageBreakBefore w:val="0"/>
        <w:tabs>
          <w:tab w:val="left" w:pos="420"/>
          <w:tab w:val="left" w:pos="7560"/>
          <w:tab w:val="left" w:pos="7740"/>
          <w:tab w:val="left" w:pos="7920"/>
        </w:tabs>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41.1采购代理机构应按</w:t>
      </w:r>
      <w:r>
        <w:rPr>
          <w:rFonts w:hint="eastAsia" w:ascii="宋体" w:hAnsi="宋体" w:eastAsia="宋体" w:cs="宋体"/>
          <w:b/>
          <w:color w:val="auto"/>
          <w:sz w:val="22"/>
          <w:szCs w:val="22"/>
          <w:highlight w:val="none"/>
        </w:rPr>
        <w:t>磋商须知前附表</w:t>
      </w:r>
      <w:r>
        <w:rPr>
          <w:rFonts w:hint="eastAsia" w:ascii="宋体" w:hAnsi="宋体" w:eastAsia="宋体" w:cs="宋体"/>
          <w:color w:val="auto"/>
          <w:sz w:val="22"/>
          <w:szCs w:val="22"/>
          <w:highlight w:val="none"/>
        </w:rPr>
        <w:t>规定收取采购代理服务费。</w:t>
      </w:r>
    </w:p>
    <w:p>
      <w:pPr>
        <w:pageBreakBefore w:val="0"/>
        <w:tabs>
          <w:tab w:val="left" w:pos="420"/>
          <w:tab w:val="left" w:pos="7560"/>
          <w:tab w:val="left" w:pos="7740"/>
          <w:tab w:val="left" w:pos="7920"/>
        </w:tabs>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41.2集中采购机构不得收取采购代理服务费。</w:t>
      </w:r>
    </w:p>
    <w:p>
      <w:pPr>
        <w:pageBreakBefore w:val="0"/>
        <w:tabs>
          <w:tab w:val="left" w:pos="420"/>
          <w:tab w:val="left" w:pos="7560"/>
          <w:tab w:val="left" w:pos="7740"/>
          <w:tab w:val="left" w:pos="7920"/>
        </w:tabs>
        <w:kinsoku/>
        <w:wordWrap/>
        <w:overflowPunct/>
        <w:bidi w:val="0"/>
        <w:adjustRightInd w:val="0"/>
        <w:snapToGrid w:val="0"/>
        <w:spacing w:line="360" w:lineRule="auto"/>
        <w:textAlignment w:val="auto"/>
        <w:rPr>
          <w:rFonts w:hint="eastAsia" w:ascii="宋体" w:hAnsi="宋体" w:eastAsia="宋体" w:cs="宋体"/>
          <w:b/>
          <w:color w:val="auto"/>
          <w:sz w:val="22"/>
          <w:szCs w:val="28"/>
          <w:highlight w:val="none"/>
        </w:rPr>
      </w:pPr>
      <w:r>
        <w:rPr>
          <w:rFonts w:hint="eastAsia" w:ascii="宋体" w:hAnsi="宋体" w:eastAsia="宋体" w:cs="宋体"/>
          <w:b/>
          <w:color w:val="auto"/>
          <w:sz w:val="22"/>
          <w:szCs w:val="22"/>
          <w:highlight w:val="none"/>
        </w:rPr>
        <w:t>42.</w:t>
      </w:r>
      <w:r>
        <w:rPr>
          <w:rFonts w:hint="eastAsia" w:ascii="宋体" w:hAnsi="宋体" w:eastAsia="宋体" w:cs="宋体"/>
          <w:b/>
          <w:color w:val="auto"/>
          <w:sz w:val="22"/>
          <w:szCs w:val="28"/>
          <w:highlight w:val="none"/>
        </w:rPr>
        <w:t xml:space="preserve"> 其他规定</w:t>
      </w:r>
    </w:p>
    <w:p>
      <w:pPr>
        <w:pageBreakBefore w:val="0"/>
        <w:tabs>
          <w:tab w:val="left" w:pos="420"/>
          <w:tab w:val="left" w:pos="7560"/>
          <w:tab w:val="left" w:pos="7740"/>
          <w:tab w:val="left" w:pos="7920"/>
        </w:tabs>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8"/>
          <w:highlight w:val="none"/>
        </w:rPr>
        <w:t>42.1</w:t>
      </w:r>
      <w:r>
        <w:rPr>
          <w:rFonts w:hint="eastAsia" w:ascii="宋体" w:hAnsi="宋体" w:eastAsia="宋体" w:cs="宋体"/>
          <w:color w:val="auto"/>
          <w:sz w:val="22"/>
          <w:szCs w:val="22"/>
          <w:highlight w:val="none"/>
        </w:rPr>
        <w:t>磋商文件</w:t>
      </w:r>
      <w:r>
        <w:rPr>
          <w:rFonts w:hint="eastAsia" w:ascii="宋体" w:hAnsi="宋体" w:eastAsia="宋体" w:cs="宋体"/>
          <w:color w:val="auto"/>
          <w:sz w:val="22"/>
          <w:szCs w:val="28"/>
          <w:highlight w:val="none"/>
        </w:rPr>
        <w:t>的其他规定</w:t>
      </w:r>
      <w:r>
        <w:rPr>
          <w:rFonts w:hint="eastAsia" w:ascii="宋体" w:hAnsi="宋体" w:eastAsia="宋体" w:cs="宋体"/>
          <w:color w:val="auto"/>
          <w:sz w:val="22"/>
          <w:szCs w:val="22"/>
          <w:highlight w:val="none"/>
        </w:rPr>
        <w:t>见</w:t>
      </w:r>
      <w:r>
        <w:rPr>
          <w:rFonts w:hint="eastAsia" w:ascii="宋体" w:hAnsi="宋体" w:eastAsia="宋体" w:cs="宋体"/>
          <w:b/>
          <w:color w:val="auto"/>
          <w:sz w:val="22"/>
          <w:szCs w:val="22"/>
          <w:highlight w:val="none"/>
        </w:rPr>
        <w:t>磋商须知前附表</w:t>
      </w:r>
      <w:r>
        <w:rPr>
          <w:rFonts w:hint="eastAsia" w:ascii="宋体" w:hAnsi="宋体" w:eastAsia="宋体" w:cs="宋体"/>
          <w:color w:val="auto"/>
          <w:sz w:val="22"/>
          <w:szCs w:val="22"/>
          <w:highlight w:val="none"/>
        </w:rPr>
        <w:t>。</w:t>
      </w:r>
    </w:p>
    <w:p>
      <w:pPr>
        <w:pageBreakBefore w:val="0"/>
        <w:tabs>
          <w:tab w:val="left" w:pos="420"/>
          <w:tab w:val="left" w:pos="7560"/>
          <w:tab w:val="left" w:pos="7740"/>
          <w:tab w:val="left" w:pos="7920"/>
        </w:tabs>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对列入失信被执行人、重大税收违法案件当事人名单、政府采购严重违法失信行为记录名单及其他不符合《中华人民共和国政府采购法》第二十二条规定条件的供应商，将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ageBreakBefore w:val="0"/>
        <w:tabs>
          <w:tab w:val="left" w:pos="420"/>
          <w:tab w:val="left" w:pos="7560"/>
          <w:tab w:val="left" w:pos="7740"/>
          <w:tab w:val="left" w:pos="7920"/>
        </w:tabs>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2、信用信息查询的查询渠道：“信用中国”网站（www.creditchina.gov.cn）、湖南省政府采购网（www.ccgp-hunan.gov.cn）。</w:t>
      </w:r>
    </w:p>
    <w:p>
      <w:pPr>
        <w:pageBreakBefore w:val="0"/>
        <w:tabs>
          <w:tab w:val="left" w:pos="420"/>
          <w:tab w:val="left" w:pos="7560"/>
          <w:tab w:val="left" w:pos="7740"/>
          <w:tab w:val="left" w:pos="7920"/>
        </w:tabs>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3、信用信息查询的截止时点：至本项目投标截止时间止（或至本项目响应文件提交截止时间止）。</w:t>
      </w:r>
    </w:p>
    <w:p>
      <w:pPr>
        <w:pageBreakBefore w:val="0"/>
        <w:tabs>
          <w:tab w:val="left" w:pos="420"/>
          <w:tab w:val="left" w:pos="7560"/>
          <w:tab w:val="left" w:pos="7740"/>
          <w:tab w:val="left" w:pos="7920"/>
        </w:tabs>
        <w:kinsoku/>
        <w:wordWrap/>
        <w:overflowPunct/>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4、信用信息查询记录证据留存的具体方式：查询记录的网页打印件。</w:t>
      </w:r>
    </w:p>
    <w:p>
      <w:pPr>
        <w:adjustRightInd w:val="0"/>
        <w:snapToGrid w:val="0"/>
        <w:spacing w:before="158" w:beforeLines="50" w:line="400" w:lineRule="exact"/>
        <w:jc w:val="both"/>
        <w:rPr>
          <w:rFonts w:ascii="宋体" w:hAnsi="宋体"/>
          <w:b/>
          <w:color w:val="auto"/>
          <w:sz w:val="32"/>
          <w:szCs w:val="32"/>
          <w:highlight w:val="none"/>
        </w:rPr>
      </w:pPr>
      <w:r>
        <w:rPr>
          <w:rFonts w:hint="eastAsia" w:ascii="宋体" w:hAnsi="宋体" w:eastAsia="宋体" w:cs="宋体"/>
          <w:color w:val="auto"/>
          <w:sz w:val="22"/>
          <w:szCs w:val="22"/>
          <w:highlight w:val="none"/>
        </w:rPr>
        <w:t>5、信用信息的使用规则：对列入失信被执行人、重大税收违法案件当事人名单、政府采购严重违法失信行为记录名单及其他不符合《中华人民共和国政府采购法》第二十二条规定条件的供应商，将拒绝其参与政府采购活动。</w:t>
      </w:r>
      <w:r>
        <w:rPr>
          <w:rFonts w:ascii="宋体" w:hAnsi="宋体"/>
          <w:b/>
          <w:color w:val="auto"/>
          <w:sz w:val="32"/>
          <w:szCs w:val="32"/>
          <w:highlight w:val="none"/>
        </w:rPr>
        <w:br w:type="page"/>
      </w:r>
    </w:p>
    <w:p>
      <w:pPr>
        <w:widowControl/>
        <w:jc w:val="left"/>
        <w:rPr>
          <w:rFonts w:ascii="黑体" w:eastAsia="黑体"/>
          <w:b/>
          <w:color w:val="auto"/>
          <w:sz w:val="32"/>
          <w:szCs w:val="32"/>
          <w:highlight w:val="none"/>
        </w:rPr>
      </w:pPr>
      <w:r>
        <w:rPr>
          <w:rFonts w:hint="eastAsia" w:ascii="黑体" w:eastAsia="黑体"/>
          <w:b/>
          <w:color w:val="auto"/>
          <w:sz w:val="32"/>
          <w:szCs w:val="32"/>
          <w:highlight w:val="none"/>
        </w:rPr>
        <w:t>附1</w:t>
      </w:r>
    </w:p>
    <w:p>
      <w:pPr>
        <w:jc w:val="center"/>
        <w:rPr>
          <w:b/>
          <w:bCs/>
          <w:color w:val="auto"/>
          <w:sz w:val="36"/>
          <w:szCs w:val="36"/>
          <w:highlight w:val="none"/>
        </w:rPr>
      </w:pPr>
      <w:bookmarkStart w:id="0" w:name="_Toc25629"/>
      <w:r>
        <w:rPr>
          <w:rFonts w:hint="eastAsia"/>
          <w:b/>
          <w:color w:val="auto"/>
          <w:sz w:val="36"/>
          <w:szCs w:val="36"/>
          <w:highlight w:val="none"/>
        </w:rPr>
        <w:t>评标方法及标准(综合评分法适用)</w:t>
      </w:r>
      <w:bookmarkEnd w:id="0"/>
    </w:p>
    <w:p>
      <w:pPr>
        <w:pStyle w:val="5"/>
        <w:rPr>
          <w:color w:val="auto"/>
          <w:sz w:val="21"/>
          <w:highlight w:val="none"/>
        </w:rPr>
      </w:pPr>
      <w:bookmarkStart w:id="1" w:name="_Toc335917236"/>
      <w:bookmarkStart w:id="2" w:name="_Toc335917301"/>
      <w:bookmarkStart w:id="3" w:name="_Toc335917086"/>
      <w:bookmarkStart w:id="4" w:name="_Toc27948"/>
      <w:bookmarkStart w:id="5" w:name="_Toc335917161"/>
      <w:bookmarkStart w:id="6" w:name="_Toc465330057"/>
      <w:r>
        <w:rPr>
          <w:rFonts w:hint="eastAsia"/>
          <w:color w:val="auto"/>
          <w:sz w:val="21"/>
          <w:highlight w:val="none"/>
        </w:rPr>
        <w:t>一、总则</w:t>
      </w:r>
      <w:bookmarkEnd w:id="1"/>
      <w:bookmarkEnd w:id="2"/>
      <w:bookmarkEnd w:id="3"/>
      <w:bookmarkEnd w:id="4"/>
      <w:bookmarkEnd w:id="5"/>
      <w:bookmarkEnd w:id="6"/>
    </w:p>
    <w:p>
      <w:pPr>
        <w:adjustRightInd w:val="0"/>
        <w:snapToGrid w:val="0"/>
        <w:spacing w:before="156" w:beforeLines="50" w:line="360" w:lineRule="auto"/>
        <w:rPr>
          <w:rFonts w:ascii="宋体" w:hAnsi="宋体"/>
          <w:b/>
          <w:color w:val="auto"/>
          <w:szCs w:val="21"/>
          <w:highlight w:val="none"/>
        </w:rPr>
      </w:pPr>
      <w:r>
        <w:rPr>
          <w:rFonts w:hint="eastAsia" w:ascii="宋体" w:hAnsi="宋体"/>
          <w:b/>
          <w:color w:val="auto"/>
          <w:szCs w:val="21"/>
          <w:highlight w:val="none"/>
        </w:rPr>
        <w:t>1.评标委员会</w:t>
      </w:r>
    </w:p>
    <w:p>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1.1评标由依法组成的评标委员会负责。</w:t>
      </w:r>
    </w:p>
    <w:p>
      <w:pPr>
        <w:adjustRightInd w:val="0"/>
        <w:snapToGrid w:val="0"/>
        <w:spacing w:before="156" w:beforeLines="50" w:line="360" w:lineRule="auto"/>
        <w:rPr>
          <w:rFonts w:ascii="宋体" w:hAnsi="宋体"/>
          <w:b/>
          <w:color w:val="auto"/>
          <w:szCs w:val="21"/>
          <w:highlight w:val="none"/>
        </w:rPr>
      </w:pPr>
      <w:r>
        <w:rPr>
          <w:rFonts w:hint="eastAsia" w:ascii="宋体" w:hAnsi="宋体"/>
          <w:b/>
          <w:bCs/>
          <w:color w:val="auto"/>
          <w:szCs w:val="21"/>
          <w:highlight w:val="none"/>
        </w:rPr>
        <w:t>2.</w:t>
      </w:r>
      <w:r>
        <w:rPr>
          <w:rFonts w:hint="eastAsia" w:ascii="宋体" w:hAnsi="宋体"/>
          <w:b/>
          <w:color w:val="auto"/>
          <w:szCs w:val="21"/>
          <w:highlight w:val="none"/>
        </w:rPr>
        <w:t>评标方法</w:t>
      </w:r>
    </w:p>
    <w:p>
      <w:pPr>
        <w:tabs>
          <w:tab w:val="left" w:pos="0"/>
        </w:tabs>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2.1评标方法：</w:t>
      </w:r>
      <w:r>
        <w:rPr>
          <w:rFonts w:hint="eastAsia" w:ascii="宋体" w:hAnsi="宋体"/>
          <w:bCs/>
          <w:szCs w:val="21"/>
        </w:rPr>
        <w:t>指投标文件满足招标文件全部实质性要求，且按照评审因素的量化指标评审得分最高的投标人为中标候选人的评标方法。</w:t>
      </w:r>
    </w:p>
    <w:p>
      <w:pPr>
        <w:adjustRightInd w:val="0"/>
        <w:snapToGrid w:val="0"/>
        <w:spacing w:before="156" w:beforeLines="50" w:line="360" w:lineRule="auto"/>
        <w:ind w:firstLine="420" w:firstLineChars="200"/>
        <w:jc w:val="left"/>
        <w:rPr>
          <w:rFonts w:ascii="宋体" w:hAnsi="宋体"/>
          <w:bCs/>
          <w:szCs w:val="21"/>
        </w:rPr>
      </w:pPr>
      <w:r>
        <w:rPr>
          <w:rFonts w:hint="eastAsia" w:ascii="宋体" w:hAnsi="宋体"/>
          <w:bCs/>
          <w:color w:val="auto"/>
          <w:szCs w:val="21"/>
          <w:highlight w:val="none"/>
        </w:rPr>
        <w:t>2.2</w:t>
      </w:r>
      <w:r>
        <w:rPr>
          <w:rFonts w:hint="eastAsia" w:ascii="宋体" w:hAnsi="宋体"/>
          <w:bCs/>
          <w:szCs w:val="21"/>
        </w:rPr>
        <w:t>评标因素：评审因素的设定应当与投标人所提供货物服务的质量相关，包括投标报价、技术或者服务水平、履约能力、售后服务等，但不包括第一章投标人的资格要求。本采购项目的评标因素和标准见本章本节附表“</w:t>
      </w:r>
      <w:r>
        <w:rPr>
          <w:rFonts w:hint="eastAsia" w:ascii="宋体" w:hAnsi="宋体"/>
          <w:bCs/>
          <w:szCs w:val="21"/>
          <w:lang w:val="en-US" w:eastAsia="zh-CN"/>
        </w:rPr>
        <w:t>评审细则</w:t>
      </w:r>
      <w:r>
        <w:rPr>
          <w:rFonts w:hint="eastAsia" w:ascii="宋体" w:hAnsi="宋体"/>
          <w:bCs/>
          <w:szCs w:val="21"/>
        </w:rPr>
        <w:t>”。</w:t>
      </w:r>
    </w:p>
    <w:p>
      <w:pPr>
        <w:tabs>
          <w:tab w:val="left" w:pos="0"/>
        </w:tabs>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评标因素：价格、技术、信誉、业绩、服务、对磋商文件的响应程度，以及相应的比重或者权值等，但不包括第一章“磋商须知”第3.1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规定的投标人资格条件。</w:t>
      </w:r>
    </w:p>
    <w:p>
      <w:pPr>
        <w:tabs>
          <w:tab w:val="left" w:pos="0"/>
        </w:tabs>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bCs/>
          <w:color w:val="auto"/>
          <w:szCs w:val="21"/>
          <w:highlight w:val="none"/>
        </w:rPr>
        <w:t>2.3</w:t>
      </w:r>
      <w:r>
        <w:rPr>
          <w:rFonts w:hint="eastAsia" w:ascii="宋体" w:hAnsi="宋体"/>
          <w:color w:val="auto"/>
          <w:szCs w:val="21"/>
          <w:highlight w:val="none"/>
        </w:rPr>
        <w:t>权值的取值范围见下表</w:t>
      </w:r>
      <w:r>
        <w:rPr>
          <w:rFonts w:hint="eastAsia" w:ascii="宋体" w:hAnsi="宋体"/>
          <w:b/>
          <w:color w:val="auto"/>
          <w:szCs w:val="21"/>
          <w:highlight w:val="none"/>
        </w:rPr>
        <w:t>。</w:t>
      </w:r>
    </w:p>
    <w:tbl>
      <w:tblPr>
        <w:tblStyle w:val="32"/>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680"/>
        <w:gridCol w:w="34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720" w:type="dxa"/>
            <w:vAlign w:val="center"/>
          </w:tcPr>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4680" w:type="dxa"/>
            <w:vAlign w:val="center"/>
          </w:tcPr>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项     目</w:t>
            </w:r>
          </w:p>
        </w:tc>
        <w:tc>
          <w:tcPr>
            <w:tcW w:w="3420" w:type="dxa"/>
            <w:vAlign w:val="center"/>
          </w:tcPr>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权值的取值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20" w:type="dxa"/>
            <w:vAlign w:val="center"/>
          </w:tcPr>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4680" w:type="dxa"/>
            <w:vAlign w:val="center"/>
          </w:tcPr>
          <w:p>
            <w:pPr>
              <w:adjustRightInd w:val="0"/>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价格</w:t>
            </w:r>
          </w:p>
        </w:tc>
        <w:tc>
          <w:tcPr>
            <w:tcW w:w="3420" w:type="dxa"/>
            <w:vAlign w:val="center"/>
          </w:tcPr>
          <w:p>
            <w:pPr>
              <w:adjustRightInd w:val="0"/>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vAlign w:val="center"/>
          </w:tcPr>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4680" w:type="dxa"/>
            <w:vAlign w:val="center"/>
          </w:tcPr>
          <w:p>
            <w:pPr>
              <w:adjustRightInd w:val="0"/>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商务</w:t>
            </w:r>
          </w:p>
        </w:tc>
        <w:tc>
          <w:tcPr>
            <w:tcW w:w="3420" w:type="dxa"/>
            <w:vAlign w:val="center"/>
          </w:tcPr>
          <w:p>
            <w:pPr>
              <w:adjustRightInd w:val="0"/>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vAlign w:val="center"/>
          </w:tcPr>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4680" w:type="dxa"/>
            <w:vAlign w:val="center"/>
          </w:tcPr>
          <w:p>
            <w:pPr>
              <w:adjustRightInd w:val="0"/>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技术</w:t>
            </w:r>
          </w:p>
        </w:tc>
        <w:tc>
          <w:tcPr>
            <w:tcW w:w="3420" w:type="dxa"/>
            <w:vAlign w:val="center"/>
          </w:tcPr>
          <w:p>
            <w:pPr>
              <w:adjustRightInd w:val="0"/>
              <w:snapToGrid w:val="0"/>
              <w:spacing w:line="360" w:lineRule="auto"/>
              <w:jc w:val="center"/>
              <w:rPr>
                <w:rFonts w:hint="default" w:ascii="宋体" w:hAnsi="宋体"/>
                <w:color w:val="auto"/>
                <w:szCs w:val="21"/>
                <w:highlight w:val="none"/>
                <w:lang w:val="en-US"/>
              </w:rPr>
            </w:pPr>
            <w:r>
              <w:rPr>
                <w:rFonts w:hint="eastAsia" w:ascii="宋体" w:hAnsi="宋体"/>
                <w:color w:val="auto"/>
                <w:szCs w:val="21"/>
                <w:highlight w:val="none"/>
              </w:rPr>
              <w:t>0.</w:t>
            </w:r>
            <w:r>
              <w:rPr>
                <w:rFonts w:hint="eastAsia" w:ascii="宋体" w:hAnsi="宋体"/>
                <w:color w:val="auto"/>
                <w:szCs w:val="21"/>
                <w:highlight w:val="none"/>
                <w:lang w:val="en-US" w:eastAsia="zh-CN"/>
              </w:rPr>
              <w:t>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5400" w:type="dxa"/>
            <w:gridSpan w:val="2"/>
          </w:tcPr>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∑(1+2+3)=1</w:t>
            </w:r>
          </w:p>
        </w:tc>
        <w:tc>
          <w:tcPr>
            <w:tcW w:w="3420" w:type="dxa"/>
            <w:vAlign w:val="center"/>
          </w:tcPr>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r>
    </w:tbl>
    <w:p>
      <w:pPr>
        <w:pStyle w:val="5"/>
        <w:rPr>
          <w:color w:val="auto"/>
          <w:sz w:val="21"/>
          <w:highlight w:val="none"/>
        </w:rPr>
      </w:pPr>
      <w:bookmarkStart w:id="7" w:name="_Toc335917162"/>
      <w:bookmarkStart w:id="8" w:name="_Toc335917237"/>
      <w:bookmarkStart w:id="9" w:name="_Toc465330058"/>
      <w:bookmarkStart w:id="10" w:name="_Toc335917087"/>
      <w:bookmarkStart w:id="11" w:name="_Toc335917302"/>
      <w:bookmarkStart w:id="12" w:name="_Toc14166"/>
      <w:r>
        <w:rPr>
          <w:rFonts w:hint="eastAsia"/>
          <w:color w:val="auto"/>
          <w:sz w:val="21"/>
          <w:highlight w:val="none"/>
        </w:rPr>
        <w:t>二、评标程序</w:t>
      </w:r>
      <w:bookmarkEnd w:id="7"/>
      <w:bookmarkEnd w:id="8"/>
      <w:bookmarkEnd w:id="9"/>
      <w:bookmarkEnd w:id="10"/>
      <w:bookmarkEnd w:id="11"/>
      <w:bookmarkEnd w:id="12"/>
    </w:p>
    <w:p>
      <w:pPr>
        <w:adjustRightInd w:val="0"/>
        <w:snapToGrid w:val="0"/>
        <w:spacing w:before="156" w:beforeLines="50" w:line="360" w:lineRule="auto"/>
        <w:ind w:right="-109" w:rightChars="-52"/>
        <w:rPr>
          <w:rFonts w:ascii="宋体" w:hAnsi="宋体"/>
          <w:b/>
          <w:bCs/>
          <w:color w:val="auto"/>
          <w:szCs w:val="21"/>
          <w:highlight w:val="none"/>
        </w:rPr>
      </w:pPr>
      <w:r>
        <w:rPr>
          <w:rFonts w:hint="eastAsia" w:ascii="宋体" w:hAnsi="宋体"/>
          <w:b/>
          <w:bCs/>
          <w:color w:val="auto"/>
          <w:szCs w:val="21"/>
          <w:highlight w:val="none"/>
        </w:rPr>
        <w:t>3.投标文件的初步</w:t>
      </w:r>
      <w:r>
        <w:rPr>
          <w:rFonts w:hint="eastAsia" w:ascii="宋体" w:hAnsi="宋体"/>
          <w:b/>
          <w:color w:val="auto"/>
          <w:szCs w:val="21"/>
          <w:highlight w:val="none"/>
        </w:rPr>
        <w:t>评审</w:t>
      </w:r>
    </w:p>
    <w:p>
      <w:pPr>
        <w:adjustRightInd w:val="0"/>
        <w:snapToGrid w:val="0"/>
        <w:spacing w:before="156" w:beforeLines="50" w:line="360" w:lineRule="auto"/>
        <w:ind w:right="-109" w:rightChars="-52" w:firstLine="420" w:firstLineChars="200"/>
        <w:rPr>
          <w:rFonts w:hint="eastAsia" w:ascii="宋体" w:hAnsi="宋体"/>
          <w:color w:val="auto"/>
          <w:szCs w:val="21"/>
          <w:highlight w:val="none"/>
        </w:rPr>
      </w:pPr>
      <w:r>
        <w:rPr>
          <w:rFonts w:hint="eastAsia" w:ascii="宋体" w:hAnsi="宋体"/>
          <w:bCs/>
          <w:color w:val="auto"/>
          <w:szCs w:val="21"/>
          <w:highlight w:val="none"/>
        </w:rPr>
        <w:t>3.1初步</w:t>
      </w:r>
      <w:r>
        <w:rPr>
          <w:rFonts w:hint="eastAsia" w:ascii="宋体" w:hAnsi="宋体"/>
          <w:color w:val="auto"/>
          <w:szCs w:val="21"/>
          <w:highlight w:val="none"/>
        </w:rPr>
        <w:t>评审资格性检查。</w:t>
      </w:r>
    </w:p>
    <w:p>
      <w:pPr>
        <w:adjustRightInd w:val="0"/>
        <w:snapToGrid w:val="0"/>
        <w:spacing w:before="156" w:beforeLines="50" w:line="360" w:lineRule="auto"/>
        <w:ind w:right="-109" w:rightChars="-52" w:firstLine="420" w:firstLineChars="200"/>
        <w:rPr>
          <w:color w:val="auto"/>
          <w:highlight w:val="none"/>
        </w:rPr>
      </w:pPr>
      <w:r>
        <w:rPr>
          <w:rFonts w:hint="eastAsia" w:ascii="宋体" w:hAnsi="宋体"/>
          <w:color w:val="auto"/>
          <w:szCs w:val="21"/>
          <w:highlight w:val="none"/>
        </w:rPr>
        <w:t xml:space="preserve"> (1) 资格性检查。依据磋商文件的规定，符合第二章 磋商须知 第3.1款 供应商资格条件的全部内容。</w:t>
      </w:r>
    </w:p>
    <w:p>
      <w:pPr>
        <w:adjustRightInd w:val="0"/>
        <w:snapToGrid w:val="0"/>
        <w:spacing w:before="156" w:beforeLines="50" w:line="360" w:lineRule="auto"/>
        <w:ind w:right="-109" w:rightChars="-52" w:firstLine="420" w:firstLineChars="200"/>
        <w:rPr>
          <w:rFonts w:ascii="宋体" w:hAnsi="宋体"/>
          <w:color w:val="auto"/>
          <w:szCs w:val="21"/>
          <w:highlight w:val="none"/>
        </w:rPr>
      </w:pPr>
      <w:r>
        <w:rPr>
          <w:rFonts w:hint="eastAsia" w:ascii="宋体" w:hAnsi="宋体"/>
          <w:bCs/>
          <w:color w:val="auto"/>
          <w:szCs w:val="21"/>
          <w:highlight w:val="none"/>
        </w:rPr>
        <w:t>3.2初步</w:t>
      </w:r>
      <w:r>
        <w:rPr>
          <w:rFonts w:hint="eastAsia" w:ascii="宋体" w:hAnsi="宋体"/>
          <w:color w:val="auto"/>
          <w:szCs w:val="21"/>
          <w:highlight w:val="none"/>
        </w:rPr>
        <w:t>评审符合性检查。</w:t>
      </w:r>
    </w:p>
    <w:p>
      <w:pPr>
        <w:adjustRightInd w:val="0"/>
        <w:snapToGrid w:val="0"/>
        <w:spacing w:before="156" w:beforeLines="50" w:line="360" w:lineRule="auto"/>
        <w:ind w:right="-109" w:rightChars="-52" w:firstLine="420" w:firstLineChars="200"/>
        <w:rPr>
          <w:rFonts w:ascii="宋体" w:hAnsi="宋体"/>
          <w:color w:val="auto"/>
          <w:szCs w:val="21"/>
          <w:highlight w:val="none"/>
        </w:rPr>
      </w:pPr>
      <w:r>
        <w:rPr>
          <w:rFonts w:hint="eastAsia" w:ascii="宋体" w:hAnsi="宋体"/>
          <w:color w:val="auto"/>
          <w:szCs w:val="21"/>
          <w:highlight w:val="none"/>
        </w:rPr>
        <w:t xml:space="preserve"> (1) 符合性检查。依据磋商文件的规定，从响应文件的有效性、完整性和对响应文件的响应程度进行审查，以确定是否对响应文件的实质性要求作出响应。</w:t>
      </w:r>
      <w:r>
        <w:rPr>
          <w:rFonts w:hint="eastAsia"/>
          <w:color w:val="auto"/>
          <w:szCs w:val="21"/>
          <w:highlight w:val="none"/>
        </w:rPr>
        <w:t>评标委员会决定响应</w:t>
      </w:r>
      <w:r>
        <w:rPr>
          <w:rFonts w:hint="eastAsia" w:ascii="宋体" w:hAnsi="宋体"/>
          <w:color w:val="auto"/>
          <w:szCs w:val="21"/>
          <w:highlight w:val="none"/>
        </w:rPr>
        <w:t>文件</w:t>
      </w:r>
      <w:r>
        <w:rPr>
          <w:rFonts w:hint="eastAsia"/>
          <w:color w:val="auto"/>
          <w:szCs w:val="21"/>
          <w:highlight w:val="none"/>
        </w:rPr>
        <w:t>的响应性只根据投标</w:t>
      </w:r>
      <w:r>
        <w:rPr>
          <w:rFonts w:hint="eastAsia" w:ascii="宋体" w:hAnsi="宋体"/>
          <w:color w:val="auto"/>
          <w:szCs w:val="21"/>
          <w:highlight w:val="none"/>
        </w:rPr>
        <w:t>文件</w:t>
      </w:r>
      <w:r>
        <w:rPr>
          <w:rFonts w:hint="eastAsia"/>
          <w:color w:val="auto"/>
          <w:szCs w:val="21"/>
          <w:highlight w:val="none"/>
        </w:rPr>
        <w:t>真实无误的内容，而不依据外部的证据，但响应</w:t>
      </w:r>
      <w:r>
        <w:rPr>
          <w:rFonts w:hint="eastAsia" w:ascii="宋体" w:hAnsi="宋体"/>
          <w:color w:val="auto"/>
          <w:szCs w:val="21"/>
          <w:highlight w:val="none"/>
        </w:rPr>
        <w:t>文件</w:t>
      </w:r>
      <w:r>
        <w:rPr>
          <w:rFonts w:hint="eastAsia"/>
          <w:color w:val="auto"/>
          <w:szCs w:val="21"/>
          <w:highlight w:val="none"/>
        </w:rPr>
        <w:t>有不真实、不正确的内容时除外。</w:t>
      </w:r>
    </w:p>
    <w:p>
      <w:pPr>
        <w:adjustRightInd w:val="0"/>
        <w:snapToGrid w:val="0"/>
        <w:spacing w:before="156" w:beforeLines="50" w:line="360" w:lineRule="auto"/>
        <w:ind w:right="-109" w:rightChars="-52"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color w:val="auto"/>
          <w:szCs w:val="21"/>
          <w:highlight w:val="none"/>
        </w:rPr>
        <w:t>投标人不得通过修正或撤销不合要求的偏离从而使其投标成为实质上响应的投标。</w:t>
      </w:r>
    </w:p>
    <w:p>
      <w:pPr>
        <w:adjustRightInd w:val="0"/>
        <w:snapToGrid w:val="0"/>
        <w:spacing w:before="156" w:beforeLines="50" w:line="360" w:lineRule="auto"/>
        <w:ind w:right="-109" w:rightChars="-52" w:firstLine="420" w:firstLineChars="200"/>
        <w:rPr>
          <w:rFonts w:ascii="宋体" w:hAnsi="宋体"/>
          <w:color w:val="auto"/>
          <w:szCs w:val="21"/>
          <w:highlight w:val="none"/>
        </w:rPr>
      </w:pPr>
      <w:r>
        <w:rPr>
          <w:rFonts w:hint="eastAsia" w:ascii="宋体" w:hAnsi="宋体"/>
          <w:color w:val="auto"/>
          <w:szCs w:val="21"/>
          <w:highlight w:val="none"/>
        </w:rPr>
        <w:t>3.3响应文件属下列情况之一的，应当资格性检查、符合性检查时按照</w:t>
      </w:r>
      <w:r>
        <w:rPr>
          <w:rFonts w:hint="eastAsia" w:ascii="宋体" w:hAnsi="宋体"/>
          <w:b/>
          <w:color w:val="auto"/>
          <w:szCs w:val="21"/>
          <w:highlight w:val="none"/>
        </w:rPr>
        <w:t>无效投标</w:t>
      </w:r>
      <w:r>
        <w:rPr>
          <w:rFonts w:hint="eastAsia" w:ascii="宋体" w:hAnsi="宋体"/>
          <w:color w:val="auto"/>
          <w:szCs w:val="21"/>
          <w:highlight w:val="none"/>
        </w:rPr>
        <w:t>处理：</w:t>
      </w:r>
    </w:p>
    <w:p>
      <w:pPr>
        <w:tabs>
          <w:tab w:val="left" w:pos="735"/>
          <w:tab w:val="left" w:pos="7560"/>
          <w:tab w:val="left" w:pos="7740"/>
          <w:tab w:val="left" w:pos="7920"/>
        </w:tabs>
        <w:adjustRightInd w:val="0"/>
        <w:snapToGrid w:val="0"/>
        <w:spacing w:before="156" w:beforeLines="50" w:line="360" w:lineRule="auto"/>
        <w:ind w:right="23" w:rightChars="11" w:firstLine="420" w:firstLineChars="200"/>
        <w:rPr>
          <w:rFonts w:ascii="宋体" w:hAnsi="宋体"/>
          <w:color w:val="auto"/>
          <w:szCs w:val="21"/>
          <w:highlight w:val="none"/>
        </w:rPr>
      </w:pPr>
      <w:r>
        <w:rPr>
          <w:rFonts w:hint="eastAsia" w:ascii="宋体" w:hAnsi="宋体"/>
          <w:color w:val="auto"/>
          <w:szCs w:val="21"/>
          <w:highlight w:val="none"/>
        </w:rPr>
        <w:t>（1）不具备第二章“磋商须知”第3.1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规定的投标人资格要求的（资格审查）；</w:t>
      </w:r>
    </w:p>
    <w:p>
      <w:pPr>
        <w:adjustRightInd w:val="0"/>
        <w:snapToGrid w:val="0"/>
        <w:spacing w:before="156" w:beforeLines="50" w:line="360" w:lineRule="auto"/>
        <w:ind w:right="-109" w:rightChars="-52" w:firstLine="420" w:firstLineChars="200"/>
        <w:rPr>
          <w:rFonts w:ascii="宋体" w:hAnsi="宋体"/>
          <w:color w:val="auto"/>
          <w:szCs w:val="21"/>
          <w:highlight w:val="none"/>
        </w:rPr>
      </w:pPr>
      <w:r>
        <w:rPr>
          <w:rFonts w:hint="eastAsia" w:ascii="宋体" w:hAnsi="宋体"/>
          <w:color w:val="auto"/>
          <w:szCs w:val="21"/>
          <w:highlight w:val="none"/>
        </w:rPr>
        <w:t>（2）未按照响应文件规定要求密封、签署、盖章的；</w:t>
      </w:r>
    </w:p>
    <w:p>
      <w:pPr>
        <w:adjustRightInd w:val="0"/>
        <w:snapToGrid w:val="0"/>
        <w:spacing w:before="156" w:beforeLines="50" w:line="360" w:lineRule="auto"/>
        <w:ind w:right="-109" w:rightChars="-52"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cs="Arial"/>
          <w:color w:val="auto"/>
          <w:szCs w:val="21"/>
          <w:highlight w:val="none"/>
        </w:rPr>
        <w:t>联合体没有提交</w:t>
      </w:r>
      <w:r>
        <w:rPr>
          <w:rFonts w:hint="eastAsia" w:ascii="宋体" w:hAnsi="宋体"/>
          <w:color w:val="auto"/>
          <w:szCs w:val="21"/>
          <w:highlight w:val="none"/>
        </w:rPr>
        <w:t>联合体协议书</w:t>
      </w:r>
      <w:r>
        <w:rPr>
          <w:rFonts w:hint="eastAsia" w:ascii="宋体" w:hAnsi="宋体"/>
          <w:bCs/>
          <w:color w:val="auto"/>
          <w:szCs w:val="21"/>
          <w:highlight w:val="none"/>
        </w:rPr>
        <w:t>，</w:t>
      </w:r>
      <w:r>
        <w:rPr>
          <w:rFonts w:hint="eastAsia"/>
          <w:color w:val="auto"/>
          <w:szCs w:val="21"/>
          <w:highlight w:val="none"/>
        </w:rPr>
        <w:t>或</w:t>
      </w:r>
      <w:r>
        <w:rPr>
          <w:rFonts w:hint="eastAsia" w:ascii="宋体" w:hAnsi="宋体"/>
          <w:color w:val="auto"/>
          <w:szCs w:val="21"/>
          <w:highlight w:val="none"/>
        </w:rPr>
        <w:t>未提交联合体各方资格证明文件</w:t>
      </w:r>
      <w:r>
        <w:rPr>
          <w:rFonts w:hint="eastAsia" w:ascii="宋体" w:hAnsi="宋体"/>
          <w:bCs/>
          <w:color w:val="auto"/>
          <w:szCs w:val="21"/>
          <w:highlight w:val="none"/>
        </w:rPr>
        <w:t>，</w:t>
      </w:r>
      <w:r>
        <w:rPr>
          <w:rFonts w:hint="eastAsia"/>
          <w:color w:val="auto"/>
          <w:szCs w:val="21"/>
          <w:highlight w:val="none"/>
        </w:rPr>
        <w:t>或</w:t>
      </w:r>
      <w:r>
        <w:rPr>
          <w:rFonts w:hint="eastAsia" w:ascii="宋体" w:hAnsi="宋体"/>
          <w:color w:val="auto"/>
          <w:szCs w:val="21"/>
          <w:highlight w:val="none"/>
        </w:rPr>
        <w:t>联合体</w:t>
      </w:r>
      <w:r>
        <w:rPr>
          <w:rFonts w:hint="eastAsia" w:ascii="宋体" w:hAnsi="宋体" w:cs="Arial"/>
          <w:color w:val="auto"/>
          <w:kern w:val="0"/>
          <w:szCs w:val="21"/>
          <w:highlight w:val="none"/>
        </w:rPr>
        <w:t>牵头方</w:t>
      </w:r>
      <w:r>
        <w:rPr>
          <w:rFonts w:hint="eastAsia"/>
          <w:color w:val="auto"/>
          <w:szCs w:val="21"/>
          <w:highlight w:val="none"/>
        </w:rPr>
        <w:t>不</w:t>
      </w:r>
      <w:r>
        <w:rPr>
          <w:rFonts w:hint="eastAsia" w:ascii="宋体" w:hAnsi="宋体"/>
          <w:color w:val="auto"/>
          <w:szCs w:val="21"/>
          <w:highlight w:val="none"/>
        </w:rPr>
        <w:t>符合第一章“磋商须知”第3.1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规定的供应商资格条件</w:t>
      </w:r>
      <w:r>
        <w:rPr>
          <w:rFonts w:hint="eastAsia" w:ascii="宋体" w:hAnsi="宋体"/>
          <w:bCs/>
          <w:color w:val="auto"/>
          <w:szCs w:val="21"/>
          <w:highlight w:val="none"/>
        </w:rPr>
        <w:t>的；</w:t>
      </w:r>
    </w:p>
    <w:p>
      <w:pPr>
        <w:adjustRightInd w:val="0"/>
        <w:snapToGrid w:val="0"/>
        <w:spacing w:before="156" w:beforeLines="50" w:line="360" w:lineRule="auto"/>
        <w:ind w:right="-109" w:rightChars="-52" w:firstLine="420" w:firstLineChars="200"/>
        <w:rPr>
          <w:rFonts w:ascii="宋体" w:hAnsi="宋体"/>
          <w:color w:val="auto"/>
          <w:szCs w:val="21"/>
          <w:highlight w:val="none"/>
        </w:rPr>
      </w:pPr>
      <w:r>
        <w:rPr>
          <w:rFonts w:hint="eastAsia" w:ascii="宋体" w:hAnsi="宋体"/>
          <w:color w:val="auto"/>
          <w:szCs w:val="21"/>
          <w:highlight w:val="none"/>
        </w:rPr>
        <w:t xml:space="preserve">（4）参加政府采购活动前三年内，在经营活动中有重大违法记录的； </w:t>
      </w:r>
    </w:p>
    <w:p>
      <w:pPr>
        <w:tabs>
          <w:tab w:val="left" w:pos="735"/>
          <w:tab w:val="left" w:pos="7560"/>
          <w:tab w:val="left" w:pos="7740"/>
          <w:tab w:val="left" w:pos="7920"/>
        </w:tabs>
        <w:adjustRightInd w:val="0"/>
        <w:snapToGrid w:val="0"/>
        <w:spacing w:before="156" w:beforeLines="50" w:line="360" w:lineRule="auto"/>
        <w:ind w:right="23" w:rightChars="11" w:firstLine="420" w:firstLineChars="200"/>
        <w:rPr>
          <w:rFonts w:ascii="宋体" w:hAnsi="宋体"/>
          <w:color w:val="auto"/>
          <w:szCs w:val="21"/>
          <w:highlight w:val="none"/>
        </w:rPr>
      </w:pPr>
      <w:r>
        <w:rPr>
          <w:rFonts w:hint="eastAsia" w:ascii="宋体" w:hAnsi="宋体"/>
          <w:color w:val="auto"/>
          <w:szCs w:val="21"/>
          <w:highlight w:val="none"/>
        </w:rPr>
        <w:t>（5））应交未交投标保证金或</w:t>
      </w:r>
      <w:r>
        <w:rPr>
          <w:rFonts w:hint="eastAsia"/>
          <w:color w:val="auto"/>
          <w:szCs w:val="21"/>
          <w:highlight w:val="none"/>
        </w:rPr>
        <w:t>金额不足、保函有效期不足、投标保证金形式或投标保函出证机构不符合磋商文件要求的</w:t>
      </w:r>
      <w:r>
        <w:rPr>
          <w:rFonts w:hint="eastAsia" w:ascii="宋体" w:hAnsi="宋体"/>
          <w:color w:val="auto"/>
          <w:szCs w:val="21"/>
          <w:highlight w:val="none"/>
        </w:rPr>
        <w:t>；</w:t>
      </w:r>
    </w:p>
    <w:p>
      <w:pPr>
        <w:adjustRightInd w:val="0"/>
        <w:snapToGrid w:val="0"/>
        <w:spacing w:before="156" w:beforeLines="50" w:line="360" w:lineRule="auto"/>
        <w:ind w:right="-109" w:rightChars="-52" w:firstLine="420" w:firstLineChars="200"/>
        <w:rPr>
          <w:rFonts w:ascii="宋体" w:hAnsi="宋体"/>
          <w:color w:val="auto"/>
          <w:szCs w:val="21"/>
          <w:highlight w:val="none"/>
        </w:rPr>
      </w:pPr>
      <w:r>
        <w:rPr>
          <w:rFonts w:hint="eastAsia" w:ascii="宋体" w:hAnsi="宋体"/>
          <w:color w:val="auto"/>
          <w:szCs w:val="21"/>
          <w:highlight w:val="none"/>
        </w:rPr>
        <w:t>（6）投标报价超过采购项目预算的；</w:t>
      </w:r>
    </w:p>
    <w:p>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（7）同一投标人提交两个以上不同的投标文件的；</w:t>
      </w:r>
    </w:p>
    <w:p>
      <w:pPr>
        <w:tabs>
          <w:tab w:val="left" w:pos="3105"/>
        </w:tabs>
        <w:adjustRightInd w:val="0"/>
        <w:snapToGrid w:val="0"/>
        <w:spacing w:before="156" w:beforeLines="50" w:line="360" w:lineRule="auto"/>
        <w:ind w:firstLine="420" w:firstLineChars="200"/>
        <w:rPr>
          <w:rFonts w:ascii="宋体" w:hAnsi="宋体"/>
          <w:color w:val="auto"/>
          <w:kern w:val="0"/>
          <w:highlight w:val="none"/>
        </w:rPr>
      </w:pPr>
      <w:r>
        <w:rPr>
          <w:rFonts w:hint="eastAsia" w:ascii="宋体" w:hAnsi="宋体"/>
          <w:color w:val="auto"/>
          <w:szCs w:val="21"/>
          <w:highlight w:val="none"/>
        </w:rPr>
        <w:t>（9）</w:t>
      </w:r>
      <w:r>
        <w:rPr>
          <w:rFonts w:hint="eastAsia" w:ascii="宋体" w:hAnsi="宋体"/>
          <w:color w:val="auto"/>
          <w:kern w:val="0"/>
          <w:highlight w:val="none"/>
        </w:rPr>
        <w:t>响应</w:t>
      </w:r>
      <w:r>
        <w:rPr>
          <w:rFonts w:ascii="宋体" w:hAnsi="宋体"/>
          <w:color w:val="auto"/>
          <w:kern w:val="0"/>
          <w:highlight w:val="none"/>
        </w:rPr>
        <w:t>文件载明的投标范围小于招标文件规定的招标范围的</w:t>
      </w:r>
      <w:r>
        <w:rPr>
          <w:rFonts w:hint="eastAsia" w:ascii="宋体" w:hAnsi="宋体"/>
          <w:color w:val="auto"/>
          <w:kern w:val="0"/>
          <w:highlight w:val="none"/>
        </w:rPr>
        <w:t>(</w:t>
      </w:r>
      <w:r>
        <w:rPr>
          <w:rFonts w:hint="eastAsia" w:ascii="宋体" w:hAnsi="宋体"/>
          <w:color w:val="auto"/>
          <w:szCs w:val="21"/>
          <w:highlight w:val="none"/>
        </w:rPr>
        <w:t>缺漏招标文件所要求的内容)</w:t>
      </w:r>
      <w:r>
        <w:rPr>
          <w:rFonts w:ascii="宋体" w:hAnsi="宋体"/>
          <w:color w:val="auto"/>
          <w:kern w:val="0"/>
          <w:highlight w:val="none"/>
        </w:rPr>
        <w:t>；</w:t>
      </w:r>
    </w:p>
    <w:p>
      <w:pPr>
        <w:tabs>
          <w:tab w:val="left" w:pos="3105"/>
        </w:tabs>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（10）投标有效期不足的；</w:t>
      </w:r>
    </w:p>
    <w:p>
      <w:pPr>
        <w:tabs>
          <w:tab w:val="left" w:pos="3105"/>
        </w:tabs>
        <w:adjustRightInd w:val="0"/>
        <w:snapToGrid w:val="0"/>
        <w:spacing w:before="156" w:beforeLines="50" w:line="360" w:lineRule="auto"/>
        <w:ind w:firstLine="420" w:firstLineChars="200"/>
        <w:rPr>
          <w:rFonts w:ascii="宋体" w:hAnsi="宋体"/>
          <w:bCs/>
          <w:color w:val="auto"/>
          <w:szCs w:val="21"/>
          <w:highlight w:val="none"/>
        </w:rPr>
      </w:pPr>
      <w:r>
        <w:rPr>
          <w:rFonts w:hint="eastAsia" w:ascii="宋体" w:hAnsi="宋体"/>
          <w:color w:val="auto"/>
          <w:szCs w:val="21"/>
          <w:highlight w:val="none"/>
        </w:rPr>
        <w:t>（11）不符合法律、法规和磋商文件规定的。</w:t>
      </w:r>
    </w:p>
    <w:p>
      <w:pPr>
        <w:adjustRightInd w:val="0"/>
        <w:snapToGrid w:val="0"/>
        <w:spacing w:before="156" w:beforeLines="50" w:line="360" w:lineRule="auto"/>
        <w:ind w:right="-109" w:rightChars="-52" w:firstLine="420" w:firstLineChars="200"/>
        <w:rPr>
          <w:rFonts w:ascii="宋体" w:hAnsi="宋体"/>
          <w:color w:val="auto"/>
          <w:szCs w:val="21"/>
          <w:highlight w:val="none"/>
        </w:rPr>
      </w:pPr>
      <w:r>
        <w:rPr>
          <w:rFonts w:hint="eastAsia" w:ascii="宋体" w:hAnsi="宋体"/>
          <w:color w:val="auto"/>
          <w:szCs w:val="21"/>
          <w:highlight w:val="none"/>
        </w:rPr>
        <w:t>3.4有下列情形之一时，评标委员会应予废标，并将理由通知所有投标人：</w:t>
      </w:r>
    </w:p>
    <w:p>
      <w:pPr>
        <w:adjustRightInd w:val="0"/>
        <w:snapToGrid w:val="0"/>
        <w:spacing w:before="156" w:beforeLines="50" w:line="360" w:lineRule="auto"/>
        <w:ind w:right="-109" w:rightChars="-52" w:firstLine="420" w:firstLineChars="200"/>
        <w:rPr>
          <w:rFonts w:ascii="宋体" w:hAnsi="宋体"/>
          <w:color w:val="auto"/>
          <w:szCs w:val="21"/>
          <w:highlight w:val="none"/>
        </w:rPr>
      </w:pPr>
      <w:r>
        <w:rPr>
          <w:rFonts w:hint="eastAsia" w:ascii="宋体" w:hAnsi="宋体"/>
          <w:color w:val="auto"/>
          <w:szCs w:val="21"/>
          <w:highlight w:val="none"/>
        </w:rPr>
        <w:t>（1）符合专业条件的投标人或者对招标文件作实质性响应的投标人不足三家的；</w:t>
      </w:r>
    </w:p>
    <w:p>
      <w:pPr>
        <w:adjustRightInd w:val="0"/>
        <w:snapToGrid w:val="0"/>
        <w:spacing w:before="156" w:beforeLines="50" w:line="360" w:lineRule="auto"/>
        <w:ind w:right="-109" w:rightChars="-52" w:firstLine="420" w:firstLineChars="200"/>
        <w:rPr>
          <w:rFonts w:ascii="宋体" w:hAnsi="宋体"/>
          <w:color w:val="auto"/>
          <w:szCs w:val="21"/>
          <w:highlight w:val="none"/>
        </w:rPr>
      </w:pPr>
      <w:r>
        <w:rPr>
          <w:rFonts w:hint="eastAsia" w:ascii="宋体" w:hAnsi="宋体"/>
          <w:color w:val="auto"/>
          <w:szCs w:val="21"/>
          <w:highlight w:val="none"/>
        </w:rPr>
        <w:t>（2）出现影响采购公正的违法、违规行为的；</w:t>
      </w:r>
    </w:p>
    <w:p>
      <w:pPr>
        <w:adjustRightInd w:val="0"/>
        <w:snapToGrid w:val="0"/>
        <w:spacing w:before="156" w:beforeLines="50" w:line="360" w:lineRule="auto"/>
        <w:ind w:right="-109" w:rightChars="-52" w:firstLine="420" w:firstLineChars="200"/>
        <w:rPr>
          <w:rFonts w:ascii="宋体" w:hAnsi="宋体"/>
          <w:color w:val="auto"/>
          <w:szCs w:val="21"/>
          <w:highlight w:val="none"/>
        </w:rPr>
      </w:pPr>
      <w:r>
        <w:rPr>
          <w:rFonts w:hint="eastAsia" w:ascii="宋体" w:hAnsi="宋体"/>
          <w:color w:val="auto"/>
          <w:szCs w:val="21"/>
          <w:highlight w:val="none"/>
        </w:rPr>
        <w:t>（3）投标人的报价均超过了采购预算；</w:t>
      </w:r>
    </w:p>
    <w:p>
      <w:pPr>
        <w:adjustRightInd w:val="0"/>
        <w:snapToGrid w:val="0"/>
        <w:spacing w:before="156" w:beforeLines="50" w:line="360" w:lineRule="auto"/>
        <w:ind w:right="-109" w:rightChars="-52" w:firstLine="420" w:firstLineChars="200"/>
        <w:rPr>
          <w:rFonts w:ascii="宋体" w:hAnsi="宋体"/>
          <w:color w:val="auto"/>
          <w:szCs w:val="21"/>
          <w:highlight w:val="none"/>
        </w:rPr>
      </w:pPr>
      <w:r>
        <w:rPr>
          <w:rFonts w:hint="eastAsia" w:ascii="宋体" w:hAnsi="宋体"/>
          <w:color w:val="auto"/>
          <w:szCs w:val="21"/>
          <w:highlight w:val="none"/>
        </w:rPr>
        <w:t>（4）因重大变故，采购任务取消的。</w:t>
      </w:r>
    </w:p>
    <w:p>
      <w:pPr>
        <w:adjustRightInd w:val="0"/>
        <w:snapToGrid w:val="0"/>
        <w:spacing w:before="156" w:beforeLines="50" w:line="360" w:lineRule="auto"/>
        <w:ind w:right="-109" w:rightChars="-52" w:firstLine="420" w:firstLineChars="200"/>
        <w:rPr>
          <w:rFonts w:ascii="宋体" w:hAnsi="宋体"/>
          <w:color w:val="auto"/>
          <w:szCs w:val="21"/>
          <w:highlight w:val="none"/>
        </w:rPr>
      </w:pPr>
      <w:r>
        <w:rPr>
          <w:rFonts w:hint="eastAsia" w:ascii="宋体" w:hAnsi="宋体"/>
          <w:color w:val="auto"/>
          <w:szCs w:val="21"/>
          <w:highlight w:val="none"/>
        </w:rPr>
        <w:t>3.5采用邀请招标方式的，</w:t>
      </w:r>
      <w:r>
        <w:rPr>
          <w:rFonts w:hint="eastAsia"/>
          <w:color w:val="auto"/>
          <w:highlight w:val="none"/>
        </w:rPr>
        <w:t>投标人应按新情况更新或补充其在申请资格预审时提供的证明资料，以证实其各项资格条件仍能继续满足资格预审公告的要求。否则，</w:t>
      </w:r>
      <w:r>
        <w:rPr>
          <w:rFonts w:hint="eastAsia" w:ascii="宋体" w:hAnsi="宋体"/>
          <w:color w:val="auto"/>
          <w:szCs w:val="21"/>
          <w:highlight w:val="none"/>
        </w:rPr>
        <w:t>在评标时将其视为无效投标。</w:t>
      </w:r>
    </w:p>
    <w:p>
      <w:pPr>
        <w:adjustRightInd w:val="0"/>
        <w:snapToGrid w:val="0"/>
        <w:spacing w:before="156" w:beforeLines="50" w:line="360" w:lineRule="auto"/>
        <w:ind w:right="-109" w:rightChars="-52"/>
        <w:rPr>
          <w:rFonts w:ascii="宋体" w:hAnsi="宋体"/>
          <w:bCs/>
          <w:color w:val="auto"/>
          <w:szCs w:val="21"/>
          <w:highlight w:val="none"/>
        </w:rPr>
      </w:pPr>
      <w:r>
        <w:rPr>
          <w:rFonts w:hint="eastAsia" w:ascii="宋体" w:hAnsi="宋体"/>
          <w:b/>
          <w:bCs/>
          <w:color w:val="auto"/>
          <w:szCs w:val="21"/>
          <w:highlight w:val="none"/>
        </w:rPr>
        <w:t>4.澄清有关问题</w:t>
      </w:r>
    </w:p>
    <w:p>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4.1 对投标文件中含义不明确、同类问题表述不一致或者有明显文字和计算错误的内容，评标委员会将以书面形式通知投标人作出必要的澄清、说明，但不得超出响应文件的范围或对响应文件做实质性的修改（计算错误修正除外）。评标委员会不接受投标人主动提出的澄清、说明。</w:t>
      </w:r>
    </w:p>
    <w:p>
      <w:pPr>
        <w:tabs>
          <w:tab w:val="left" w:pos="0"/>
        </w:tabs>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4.2 计算错误将按以下方法修正：如果投标文件的大写金额和小写金额不一致的，以大写金额为准；总价金额与按单价汇总金额不一致的，以单价金额计算结果为准；单价金额小数点有明显错位的，应以总价为准，并修改单价；若文字大写表示的数据与数字表示的有差别，则以文字大写表示的数据为准。若投标人拒绝接受上述修正，在评标时将其视为无效投标。</w:t>
      </w:r>
    </w:p>
    <w:p>
      <w:pPr>
        <w:tabs>
          <w:tab w:val="left" w:pos="0"/>
        </w:tabs>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4.3 投标人的澄清、说明或者补正应该采用书面形式，由法定代表人或其授权的代理人签字，并按评标委员会的通知要求递交。</w:t>
      </w:r>
    </w:p>
    <w:p>
      <w:pPr>
        <w:tabs>
          <w:tab w:val="left" w:pos="0"/>
        </w:tabs>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4.4 有效的书面澄清材料，是响应文件的补充材料，成为投标文件的组成部分。</w:t>
      </w:r>
    </w:p>
    <w:p>
      <w:pPr>
        <w:tabs>
          <w:tab w:val="left" w:pos="0"/>
        </w:tabs>
        <w:adjustRightInd w:val="0"/>
        <w:snapToGrid w:val="0"/>
        <w:spacing w:before="156" w:beforeLines="50" w:line="360" w:lineRule="auto"/>
        <w:rPr>
          <w:rFonts w:ascii="宋体" w:hAnsi="宋体"/>
          <w:b/>
          <w:bCs/>
          <w:color w:val="auto"/>
          <w:szCs w:val="21"/>
          <w:highlight w:val="none"/>
        </w:rPr>
      </w:pPr>
      <w:r>
        <w:rPr>
          <w:rFonts w:hint="eastAsia" w:ascii="宋体" w:hAnsi="宋体"/>
          <w:b/>
          <w:bCs/>
          <w:color w:val="auto"/>
          <w:szCs w:val="21"/>
          <w:highlight w:val="none"/>
        </w:rPr>
        <w:t>5.比较与评价</w:t>
      </w:r>
    </w:p>
    <w:p>
      <w:pPr>
        <w:tabs>
          <w:tab w:val="left" w:pos="0"/>
        </w:tabs>
        <w:adjustRightInd w:val="0"/>
        <w:snapToGrid w:val="0"/>
        <w:spacing w:before="156" w:beforeLines="50"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5.1评标委员会应按照招标文件中规定的评标方法、</w:t>
      </w:r>
      <w:r>
        <w:rPr>
          <w:rFonts w:hint="eastAsia" w:ascii="宋体" w:hAnsi="宋体"/>
          <w:color w:val="auto"/>
          <w:szCs w:val="21"/>
          <w:highlight w:val="none"/>
        </w:rPr>
        <w:t>标准和评标因素，</w:t>
      </w:r>
      <w:r>
        <w:rPr>
          <w:rFonts w:hint="eastAsia" w:ascii="宋体" w:hAnsi="宋体"/>
          <w:bCs/>
          <w:color w:val="auto"/>
          <w:szCs w:val="21"/>
          <w:highlight w:val="none"/>
        </w:rPr>
        <w:t>对</w:t>
      </w:r>
      <w:r>
        <w:rPr>
          <w:rFonts w:hint="eastAsia" w:ascii="宋体" w:hAnsi="宋体"/>
          <w:color w:val="auto"/>
          <w:szCs w:val="21"/>
          <w:highlight w:val="none"/>
        </w:rPr>
        <w:t>资格性检查和符合性检查</w:t>
      </w:r>
      <w:r>
        <w:rPr>
          <w:rFonts w:hint="eastAsia" w:ascii="宋体" w:hAnsi="宋体"/>
          <w:bCs/>
          <w:color w:val="auto"/>
          <w:szCs w:val="21"/>
          <w:highlight w:val="none"/>
        </w:rPr>
        <w:t>合格的投标文件进行评估，综合比较与评价。</w:t>
      </w:r>
    </w:p>
    <w:p>
      <w:pPr>
        <w:widowControl/>
        <w:adjustRightInd w:val="0"/>
        <w:snapToGrid w:val="0"/>
        <w:spacing w:before="156" w:beforeLines="5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5.2</w:t>
      </w:r>
      <w:r>
        <w:rPr>
          <w:rFonts w:hint="eastAsia" w:ascii="宋体" w:hAnsi="宋体"/>
          <w:color w:val="auto"/>
          <w:szCs w:val="21"/>
          <w:highlight w:val="none"/>
        </w:rPr>
        <w:t>投标报价评价。评标委员会以开标时承认的投标报价为基础，</w:t>
      </w:r>
      <w:r>
        <w:rPr>
          <w:rFonts w:hint="eastAsia" w:ascii="宋体" w:hAnsi="宋体" w:cs="宋体"/>
          <w:color w:val="auto"/>
          <w:kern w:val="0"/>
          <w:szCs w:val="21"/>
          <w:highlight w:val="none"/>
        </w:rPr>
        <w:t>依次</w:t>
      </w:r>
      <w:r>
        <w:rPr>
          <w:rFonts w:hint="eastAsia" w:ascii="宋体" w:hAnsi="宋体"/>
          <w:color w:val="auto"/>
          <w:szCs w:val="21"/>
          <w:highlight w:val="none"/>
        </w:rPr>
        <w:t>对投标报价进行</w:t>
      </w:r>
      <w:r>
        <w:rPr>
          <w:rFonts w:hint="eastAsia" w:ascii="宋体" w:hAnsi="宋体" w:cs="宋体"/>
          <w:color w:val="auto"/>
          <w:kern w:val="0"/>
          <w:szCs w:val="21"/>
          <w:highlight w:val="none"/>
        </w:rPr>
        <w:t>算术</w:t>
      </w:r>
      <w:r>
        <w:rPr>
          <w:rFonts w:hint="eastAsia" w:ascii="宋体" w:hAnsi="宋体"/>
          <w:color w:val="auto"/>
          <w:szCs w:val="21"/>
          <w:highlight w:val="none"/>
        </w:rPr>
        <w:t>修正和政府采购政策优惠价格扣除计算。</w:t>
      </w:r>
    </w:p>
    <w:p>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bCs/>
          <w:color w:val="auto"/>
          <w:szCs w:val="21"/>
          <w:highlight w:val="none"/>
        </w:rPr>
        <w:t>5.3</w:t>
      </w:r>
      <w:r>
        <w:rPr>
          <w:rFonts w:hint="eastAsia" w:ascii="宋体" w:hAnsi="宋体" w:cs="宋体"/>
          <w:color w:val="auto"/>
          <w:kern w:val="0"/>
          <w:szCs w:val="21"/>
          <w:highlight w:val="none"/>
        </w:rPr>
        <w:t>价格分采用低价优先法计算，即满足招标文件要求且投标价格最低的投标报价为评标基准价，其价格分为满分，其他</w:t>
      </w:r>
      <w:r>
        <w:rPr>
          <w:rFonts w:hint="eastAsia" w:ascii="宋体" w:hAnsi="宋体"/>
          <w:color w:val="auto"/>
          <w:szCs w:val="21"/>
          <w:highlight w:val="none"/>
        </w:rPr>
        <w:t>有效</w:t>
      </w:r>
      <w:r>
        <w:rPr>
          <w:rFonts w:hint="eastAsia" w:ascii="宋体" w:hAnsi="宋体" w:cs="宋体"/>
          <w:color w:val="auto"/>
          <w:kern w:val="0"/>
          <w:szCs w:val="21"/>
          <w:highlight w:val="none"/>
        </w:rPr>
        <w:t>投标人的价格分按照下列公式计算：</w:t>
      </w:r>
    </w:p>
    <w:p>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投标报价得分=(评标基准价／投标报价)×价格权值×100</w:t>
      </w:r>
    </w:p>
    <w:p>
      <w:pPr>
        <w:widowControl/>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5.4</w:t>
      </w:r>
      <w:r>
        <w:rPr>
          <w:rFonts w:hint="eastAsia" w:ascii="宋体" w:hAnsi="宋体"/>
          <w:color w:val="auto"/>
          <w:szCs w:val="21"/>
          <w:highlight w:val="none"/>
        </w:rPr>
        <w:t>评标时，评标委员会各成员应当独立对每个投标人的</w:t>
      </w:r>
      <w:r>
        <w:rPr>
          <w:rFonts w:hint="eastAsia" w:ascii="宋体" w:hAnsi="宋体"/>
          <w:bCs/>
          <w:color w:val="auto"/>
          <w:szCs w:val="21"/>
          <w:highlight w:val="none"/>
        </w:rPr>
        <w:t>投标文件</w:t>
      </w:r>
      <w:r>
        <w:rPr>
          <w:rFonts w:hint="eastAsia" w:ascii="宋体" w:hAnsi="宋体"/>
          <w:color w:val="auto"/>
          <w:szCs w:val="21"/>
          <w:highlight w:val="none"/>
        </w:rPr>
        <w:t>进行评价、评分，然后汇总每个投标人每项评分因素的得分。</w:t>
      </w:r>
    </w:p>
    <w:p>
      <w:pPr>
        <w:tabs>
          <w:tab w:val="left" w:pos="0"/>
        </w:tabs>
        <w:adjustRightInd w:val="0"/>
        <w:snapToGrid w:val="0"/>
        <w:spacing w:before="156" w:beforeLines="50" w:line="360" w:lineRule="auto"/>
        <w:rPr>
          <w:rFonts w:ascii="宋体" w:hAnsi="宋体"/>
          <w:b/>
          <w:color w:val="auto"/>
          <w:szCs w:val="21"/>
          <w:highlight w:val="none"/>
        </w:rPr>
      </w:pPr>
      <w:r>
        <w:rPr>
          <w:rFonts w:hint="eastAsia" w:ascii="宋体" w:hAnsi="宋体"/>
          <w:b/>
          <w:color w:val="auto"/>
          <w:szCs w:val="21"/>
          <w:highlight w:val="none"/>
        </w:rPr>
        <w:t>6.推荐成交候选人名单</w:t>
      </w:r>
    </w:p>
    <w:p>
      <w:pPr>
        <w:tabs>
          <w:tab w:val="left" w:pos="0"/>
        </w:tabs>
        <w:adjustRightInd w:val="0"/>
        <w:snapToGrid w:val="0"/>
        <w:spacing w:before="156" w:beforeLines="50" w:line="360" w:lineRule="auto"/>
        <w:ind w:firstLine="420" w:firstLineChars="200"/>
        <w:rPr>
          <w:rFonts w:ascii="宋体" w:hAnsi="宋体"/>
          <w:bCs/>
          <w:color w:val="auto"/>
          <w:szCs w:val="21"/>
          <w:highlight w:val="none"/>
        </w:rPr>
      </w:pPr>
      <w:r>
        <w:rPr>
          <w:rFonts w:hint="eastAsia" w:ascii="宋体" w:hAnsi="宋体"/>
          <w:color w:val="auto"/>
          <w:szCs w:val="21"/>
          <w:highlight w:val="none"/>
        </w:rPr>
        <w:t>6.1</w:t>
      </w:r>
      <w:r>
        <w:rPr>
          <w:rFonts w:hint="eastAsia" w:ascii="宋体" w:hAnsi="宋体"/>
          <w:bCs/>
          <w:color w:val="auto"/>
          <w:szCs w:val="21"/>
          <w:highlight w:val="none"/>
        </w:rPr>
        <w:t>按评审后得分由高到低顺序排列。得分相同的，按投标报价由低到高顺序排列。得分且投标报价相同的，按技术指标优劣顺序排列。</w:t>
      </w:r>
    </w:p>
    <w:p>
      <w:pPr>
        <w:tabs>
          <w:tab w:val="left" w:pos="0"/>
        </w:tabs>
        <w:adjustRightInd w:val="0"/>
        <w:snapToGrid w:val="0"/>
        <w:spacing w:before="156" w:beforeLines="50" w:line="360" w:lineRule="auto"/>
        <w:ind w:firstLine="420" w:firstLineChars="200"/>
        <w:rPr>
          <w:rFonts w:ascii="宋体" w:hAnsi="宋体"/>
          <w:b/>
          <w:color w:val="auto"/>
          <w:szCs w:val="21"/>
          <w:highlight w:val="none"/>
        </w:rPr>
      </w:pPr>
      <w:r>
        <w:rPr>
          <w:rFonts w:hint="eastAsia" w:ascii="宋体" w:hAnsi="宋体"/>
          <w:bCs/>
          <w:color w:val="auto"/>
          <w:szCs w:val="21"/>
          <w:highlight w:val="none"/>
        </w:rPr>
        <w:t>6.2成交</w:t>
      </w:r>
      <w:r>
        <w:rPr>
          <w:rFonts w:hint="eastAsia" w:ascii="宋体" w:hAnsi="宋体"/>
          <w:color w:val="auto"/>
          <w:szCs w:val="21"/>
          <w:highlight w:val="none"/>
        </w:rPr>
        <w:t>候选人数量为1-3名，本次招标采购推荐的成交候选人数量见</w:t>
      </w:r>
      <w:r>
        <w:rPr>
          <w:rFonts w:hint="eastAsia" w:ascii="宋体" w:hAnsi="宋体"/>
          <w:b/>
          <w:color w:val="auto"/>
          <w:szCs w:val="21"/>
          <w:highlight w:val="none"/>
        </w:rPr>
        <w:t>磋商须知前附表。</w:t>
      </w:r>
    </w:p>
    <w:p>
      <w:pPr>
        <w:widowControl/>
        <w:spacing w:line="440" w:lineRule="exact"/>
        <w:ind w:firstLine="272"/>
        <w:jc w:val="center"/>
        <w:rPr>
          <w:rFonts w:hint="eastAsia" w:ascii="宋体" w:cs="宋体"/>
          <w:b/>
          <w:bCs/>
          <w:color w:val="auto"/>
          <w:kern w:val="0"/>
          <w:szCs w:val="21"/>
          <w:highlight w:val="none"/>
        </w:rPr>
      </w:pPr>
    </w:p>
    <w:p>
      <w:pPr>
        <w:pStyle w:val="49"/>
        <w:rPr>
          <w:rFonts w:hint="eastAsia" w:ascii="宋体" w:cs="宋体"/>
          <w:b/>
          <w:bCs/>
          <w:color w:val="auto"/>
          <w:kern w:val="0"/>
          <w:szCs w:val="21"/>
          <w:highlight w:val="none"/>
        </w:rPr>
      </w:pPr>
    </w:p>
    <w:p>
      <w:pPr>
        <w:pStyle w:val="49"/>
        <w:rPr>
          <w:rFonts w:hint="eastAsia" w:ascii="宋体" w:cs="宋体"/>
          <w:b/>
          <w:bCs/>
          <w:color w:val="auto"/>
          <w:kern w:val="0"/>
          <w:szCs w:val="21"/>
          <w:highlight w:val="none"/>
        </w:rPr>
      </w:pPr>
    </w:p>
    <w:p>
      <w:pPr>
        <w:pStyle w:val="49"/>
        <w:rPr>
          <w:rFonts w:hint="eastAsia" w:ascii="宋体" w:cs="宋体"/>
          <w:b/>
          <w:bCs/>
          <w:color w:val="auto"/>
          <w:kern w:val="0"/>
          <w:szCs w:val="21"/>
          <w:highlight w:val="none"/>
        </w:rPr>
      </w:pPr>
    </w:p>
    <w:p>
      <w:pPr>
        <w:pStyle w:val="49"/>
        <w:rPr>
          <w:rFonts w:hint="eastAsia" w:ascii="宋体" w:cs="宋体"/>
          <w:b/>
          <w:bCs/>
          <w:color w:val="auto"/>
          <w:kern w:val="0"/>
          <w:szCs w:val="21"/>
          <w:highlight w:val="none"/>
        </w:rPr>
      </w:pPr>
    </w:p>
    <w:p>
      <w:pPr>
        <w:pStyle w:val="49"/>
        <w:rPr>
          <w:rFonts w:hint="eastAsia" w:ascii="宋体" w:cs="宋体"/>
          <w:b/>
          <w:bCs/>
          <w:color w:val="auto"/>
          <w:kern w:val="0"/>
          <w:szCs w:val="21"/>
          <w:highlight w:val="none"/>
        </w:rPr>
      </w:pPr>
    </w:p>
    <w:p>
      <w:pPr>
        <w:pStyle w:val="49"/>
        <w:rPr>
          <w:rFonts w:hint="eastAsia" w:ascii="宋体" w:cs="宋体"/>
          <w:b/>
          <w:bCs/>
          <w:color w:val="auto"/>
          <w:kern w:val="0"/>
          <w:szCs w:val="21"/>
          <w:highlight w:val="none"/>
        </w:rPr>
      </w:pPr>
    </w:p>
    <w:p>
      <w:pPr>
        <w:pStyle w:val="49"/>
        <w:rPr>
          <w:rFonts w:hint="eastAsia" w:ascii="宋体" w:cs="宋体"/>
          <w:b/>
          <w:bCs/>
          <w:color w:val="auto"/>
          <w:kern w:val="0"/>
          <w:szCs w:val="21"/>
          <w:highlight w:val="none"/>
        </w:rPr>
      </w:pPr>
    </w:p>
    <w:p>
      <w:pPr>
        <w:pStyle w:val="49"/>
        <w:rPr>
          <w:rFonts w:hint="eastAsia" w:ascii="宋体" w:cs="宋体"/>
          <w:b/>
          <w:bCs/>
          <w:color w:val="auto"/>
          <w:kern w:val="0"/>
          <w:szCs w:val="21"/>
          <w:highlight w:val="none"/>
        </w:rPr>
      </w:pPr>
    </w:p>
    <w:p>
      <w:pPr>
        <w:pStyle w:val="49"/>
        <w:rPr>
          <w:rFonts w:hint="eastAsia" w:ascii="宋体" w:cs="宋体"/>
          <w:b/>
          <w:bCs/>
          <w:color w:val="auto"/>
          <w:kern w:val="0"/>
          <w:szCs w:val="21"/>
          <w:highlight w:val="none"/>
        </w:rPr>
      </w:pPr>
    </w:p>
    <w:p>
      <w:pPr>
        <w:widowControl/>
        <w:spacing w:line="440" w:lineRule="exact"/>
        <w:jc w:val="both"/>
        <w:rPr>
          <w:rFonts w:hint="eastAsia" w:ascii="宋体" w:cs="宋体"/>
          <w:b/>
          <w:bCs/>
          <w:color w:val="auto"/>
          <w:kern w:val="0"/>
          <w:szCs w:val="21"/>
          <w:highlight w:val="none"/>
        </w:rPr>
      </w:pPr>
    </w:p>
    <w:p>
      <w:pPr>
        <w:widowControl/>
        <w:spacing w:line="440" w:lineRule="exact"/>
        <w:ind w:firstLine="272"/>
        <w:jc w:val="center"/>
        <w:rPr>
          <w:rFonts w:hint="eastAsia" w:ascii="宋体" w:hAnsi="宋体" w:cs="仿宋_GB2312"/>
          <w:b/>
          <w:bCs/>
          <w:color w:val="auto"/>
          <w:spacing w:val="-6"/>
          <w:szCs w:val="21"/>
          <w:highlight w:val="none"/>
        </w:rPr>
      </w:pPr>
      <w:r>
        <w:rPr>
          <w:rFonts w:hint="eastAsia" w:ascii="宋体" w:cs="宋体"/>
          <w:b/>
          <w:bCs/>
          <w:color w:val="auto"/>
          <w:kern w:val="0"/>
          <w:szCs w:val="21"/>
          <w:highlight w:val="none"/>
        </w:rPr>
        <w:t>资格评审表</w:t>
      </w:r>
    </w:p>
    <w:tbl>
      <w:tblPr>
        <w:tblStyle w:val="32"/>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5558"/>
        <w:gridCol w:w="900"/>
        <w:gridCol w:w="927"/>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50" w:type="dxa"/>
            <w:vMerge w:val="restart"/>
            <w:tcBorders>
              <w:top w:val="single" w:color="auto" w:sz="4" w:space="0"/>
              <w:left w:val="single" w:color="auto" w:sz="4" w:space="0"/>
              <w:right w:val="single" w:color="auto" w:sz="4" w:space="0"/>
            </w:tcBorders>
            <w:vAlign w:val="center"/>
          </w:tcPr>
          <w:p>
            <w:pPr>
              <w:tabs>
                <w:tab w:val="left" w:pos="0"/>
              </w:tabs>
              <w:adjustRightInd w:val="0"/>
              <w:snapToGrid w:val="0"/>
              <w:spacing w:before="156" w:beforeLines="50" w:line="360" w:lineRule="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序号</w:t>
            </w:r>
          </w:p>
        </w:tc>
        <w:tc>
          <w:tcPr>
            <w:tcW w:w="5558" w:type="dxa"/>
            <w:vMerge w:val="restart"/>
            <w:tcBorders>
              <w:top w:val="single" w:color="auto" w:sz="4" w:space="0"/>
              <w:left w:val="single" w:color="auto" w:sz="4" w:space="0"/>
              <w:right w:val="single" w:color="auto" w:sz="4" w:space="0"/>
            </w:tcBorders>
            <w:vAlign w:val="center"/>
          </w:tcPr>
          <w:p>
            <w:pPr>
              <w:tabs>
                <w:tab w:val="left" w:pos="0"/>
              </w:tabs>
              <w:adjustRightInd w:val="0"/>
              <w:snapToGrid w:val="0"/>
              <w:spacing w:before="156" w:beforeLines="50" w:line="360" w:lineRule="auto"/>
              <w:ind w:firstLine="420" w:firstLineChars="200"/>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检查内容</w:t>
            </w:r>
          </w:p>
        </w:tc>
        <w:tc>
          <w:tcPr>
            <w:tcW w:w="2609" w:type="dxa"/>
            <w:gridSpan w:val="3"/>
            <w:tcBorders>
              <w:top w:val="single" w:color="auto" w:sz="4" w:space="0"/>
              <w:left w:val="single" w:color="auto" w:sz="4" w:space="0"/>
              <w:right w:val="single" w:color="auto" w:sz="4" w:space="0"/>
            </w:tcBorders>
            <w:vAlign w:val="center"/>
          </w:tcPr>
          <w:p>
            <w:pPr>
              <w:tabs>
                <w:tab w:val="left" w:pos="0"/>
              </w:tabs>
              <w:adjustRightInd w:val="0"/>
              <w:snapToGrid w:val="0"/>
              <w:spacing w:before="156" w:beforeLines="50" w:line="360" w:lineRule="auto"/>
              <w:ind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lang w:eastAsia="zh-CN"/>
              </w:rPr>
              <w:t>供应商</w:t>
            </w:r>
            <w:r>
              <w:rPr>
                <w:rFonts w:hint="eastAsia" w:ascii="宋体" w:hAnsi="宋体" w:cs="Times New Roman"/>
                <w:color w:val="auto"/>
                <w:szCs w:val="21"/>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50" w:type="dxa"/>
            <w:vMerge w:val="continue"/>
            <w:tcBorders>
              <w:left w:val="single" w:color="auto" w:sz="4" w:space="0"/>
              <w:right w:val="single" w:color="auto" w:sz="4" w:space="0"/>
            </w:tcBorders>
            <w:vAlign w:val="center"/>
          </w:tcPr>
          <w:p>
            <w:pPr>
              <w:tabs>
                <w:tab w:val="left" w:pos="0"/>
              </w:tabs>
              <w:adjustRightInd w:val="0"/>
              <w:snapToGrid w:val="0"/>
              <w:spacing w:before="156" w:beforeLines="50" w:line="360" w:lineRule="auto"/>
              <w:ind w:firstLine="420" w:firstLineChars="200"/>
              <w:rPr>
                <w:rFonts w:hint="eastAsia" w:ascii="宋体" w:hAnsi="宋体" w:cs="Times New Roman"/>
                <w:color w:val="auto"/>
                <w:sz w:val="21"/>
                <w:szCs w:val="21"/>
                <w:highlight w:val="none"/>
              </w:rPr>
            </w:pPr>
          </w:p>
        </w:tc>
        <w:tc>
          <w:tcPr>
            <w:tcW w:w="5558" w:type="dxa"/>
            <w:vMerge w:val="continue"/>
            <w:tcBorders>
              <w:left w:val="single" w:color="auto" w:sz="4" w:space="0"/>
              <w:right w:val="single" w:color="auto" w:sz="4" w:space="0"/>
            </w:tcBorders>
            <w:vAlign w:val="center"/>
          </w:tcPr>
          <w:p>
            <w:pPr>
              <w:tabs>
                <w:tab w:val="left" w:pos="0"/>
              </w:tabs>
              <w:adjustRightInd w:val="0"/>
              <w:snapToGrid w:val="0"/>
              <w:spacing w:before="156" w:beforeLines="50" w:line="360" w:lineRule="auto"/>
              <w:ind w:firstLine="420" w:firstLineChars="200"/>
              <w:rPr>
                <w:rFonts w:hint="eastAsia" w:ascii="宋体" w:hAnsi="宋体" w:cs="Times New Roman"/>
                <w:color w:val="auto"/>
                <w:sz w:val="21"/>
                <w:szCs w:val="21"/>
                <w:highlight w:val="none"/>
              </w:rPr>
            </w:pPr>
          </w:p>
        </w:tc>
        <w:tc>
          <w:tcPr>
            <w:tcW w:w="900" w:type="dxa"/>
            <w:tcBorders>
              <w:top w:val="single" w:color="auto" w:sz="4" w:space="0"/>
              <w:left w:val="single" w:color="auto" w:sz="4" w:space="0"/>
              <w:right w:val="single" w:color="auto" w:sz="4" w:space="0"/>
            </w:tcBorders>
          </w:tcPr>
          <w:p>
            <w:pPr>
              <w:tabs>
                <w:tab w:val="left" w:pos="0"/>
              </w:tabs>
              <w:adjustRightInd w:val="0"/>
              <w:snapToGrid w:val="0"/>
              <w:spacing w:before="156" w:beforeLines="50" w:line="360" w:lineRule="auto"/>
              <w:ind w:firstLine="420" w:firstLineChars="200"/>
              <w:rPr>
                <w:rFonts w:hint="eastAsia" w:ascii="宋体" w:hAnsi="宋体" w:cs="Times New Roman"/>
                <w:color w:val="auto"/>
                <w:szCs w:val="21"/>
                <w:highlight w:val="none"/>
              </w:rPr>
            </w:pPr>
          </w:p>
        </w:tc>
        <w:tc>
          <w:tcPr>
            <w:tcW w:w="927" w:type="dxa"/>
            <w:tcBorders>
              <w:top w:val="single" w:color="auto" w:sz="4" w:space="0"/>
              <w:left w:val="single" w:color="auto" w:sz="4" w:space="0"/>
              <w:right w:val="single" w:color="auto" w:sz="4" w:space="0"/>
            </w:tcBorders>
          </w:tcPr>
          <w:p>
            <w:pPr>
              <w:adjustRightInd w:val="0"/>
              <w:snapToGrid w:val="0"/>
              <w:spacing w:before="156" w:beforeLines="50"/>
              <w:jc w:val="center"/>
              <w:rPr>
                <w:rFonts w:hint="eastAsia"/>
                <w:color w:val="auto"/>
                <w:szCs w:val="21"/>
                <w:highlight w:val="none"/>
              </w:rPr>
            </w:pPr>
          </w:p>
        </w:tc>
        <w:tc>
          <w:tcPr>
            <w:tcW w:w="782" w:type="dxa"/>
            <w:tcBorders>
              <w:top w:val="single" w:color="auto" w:sz="4" w:space="0"/>
              <w:left w:val="single" w:color="auto" w:sz="4" w:space="0"/>
              <w:right w:val="single" w:color="auto" w:sz="4" w:space="0"/>
            </w:tcBorders>
          </w:tcPr>
          <w:p>
            <w:pPr>
              <w:adjustRightInd w:val="0"/>
              <w:snapToGrid w:val="0"/>
              <w:spacing w:before="156" w:beforeLines="50"/>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spacing w:before="156" w:beforeLines="50" w:line="360" w:lineRule="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1</w:t>
            </w:r>
          </w:p>
        </w:tc>
        <w:tc>
          <w:tcPr>
            <w:tcW w:w="5558"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spacing w:before="156" w:beforeLines="50" w:line="360" w:lineRule="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法定代表人身份证明或附法定代表人身份证明的法定代表人授权书</w:t>
            </w:r>
          </w:p>
        </w:tc>
        <w:tc>
          <w:tcPr>
            <w:tcW w:w="900" w:type="dxa"/>
            <w:tcBorders>
              <w:left w:val="single" w:color="auto" w:sz="4" w:space="0"/>
              <w:right w:val="single" w:color="auto" w:sz="4" w:space="0"/>
            </w:tcBorders>
          </w:tcPr>
          <w:p>
            <w:pPr>
              <w:tabs>
                <w:tab w:val="left" w:pos="0"/>
              </w:tabs>
              <w:adjustRightInd w:val="0"/>
              <w:snapToGrid w:val="0"/>
              <w:spacing w:before="156" w:beforeLines="50" w:line="360" w:lineRule="auto"/>
              <w:ind w:firstLine="420" w:firstLineChars="200"/>
              <w:rPr>
                <w:rFonts w:hint="eastAsia" w:ascii="宋体" w:hAnsi="宋体" w:cs="Times New Roman"/>
                <w:color w:val="auto"/>
                <w:szCs w:val="21"/>
                <w:highlight w:val="none"/>
              </w:rPr>
            </w:pPr>
          </w:p>
        </w:tc>
        <w:tc>
          <w:tcPr>
            <w:tcW w:w="927" w:type="dxa"/>
            <w:tcBorders>
              <w:left w:val="single" w:color="auto" w:sz="4" w:space="0"/>
              <w:right w:val="single" w:color="auto" w:sz="4" w:space="0"/>
            </w:tcBorders>
          </w:tcPr>
          <w:p>
            <w:pPr>
              <w:ind w:right="-246" w:rightChars="-117"/>
              <w:jc w:val="center"/>
              <w:rPr>
                <w:rFonts w:hint="eastAsia"/>
                <w:color w:val="auto"/>
                <w:highlight w:val="none"/>
              </w:rPr>
            </w:pPr>
          </w:p>
        </w:tc>
        <w:tc>
          <w:tcPr>
            <w:tcW w:w="782" w:type="dxa"/>
            <w:tcBorders>
              <w:left w:val="single" w:color="auto" w:sz="4" w:space="0"/>
              <w:right w:val="single" w:color="auto" w:sz="4" w:space="0"/>
            </w:tcBorders>
          </w:tcPr>
          <w:p>
            <w:pPr>
              <w:ind w:right="-246" w:rightChars="-117"/>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spacing w:before="156" w:beforeLines="50" w:line="360" w:lineRule="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2</w:t>
            </w:r>
          </w:p>
        </w:tc>
        <w:tc>
          <w:tcPr>
            <w:tcW w:w="5558"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spacing w:before="156" w:beforeLines="50" w:line="360" w:lineRule="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企业营业执照 (或者法人登记证书)、组织机构代码证、税务登记证或多证合一的营业执照</w:t>
            </w:r>
          </w:p>
        </w:tc>
        <w:tc>
          <w:tcPr>
            <w:tcW w:w="900" w:type="dxa"/>
            <w:tcBorders>
              <w:left w:val="single" w:color="auto" w:sz="4" w:space="0"/>
              <w:right w:val="single" w:color="auto" w:sz="4" w:space="0"/>
            </w:tcBorders>
          </w:tcPr>
          <w:p>
            <w:pPr>
              <w:tabs>
                <w:tab w:val="left" w:pos="0"/>
              </w:tabs>
              <w:adjustRightInd w:val="0"/>
              <w:snapToGrid w:val="0"/>
              <w:spacing w:before="156" w:beforeLines="50" w:line="360" w:lineRule="auto"/>
              <w:ind w:firstLine="420" w:firstLineChars="200"/>
              <w:rPr>
                <w:rFonts w:hint="eastAsia" w:ascii="宋体" w:hAnsi="宋体" w:cs="Times New Roman"/>
                <w:color w:val="auto"/>
                <w:szCs w:val="21"/>
                <w:highlight w:val="none"/>
              </w:rPr>
            </w:pPr>
          </w:p>
        </w:tc>
        <w:tc>
          <w:tcPr>
            <w:tcW w:w="927" w:type="dxa"/>
            <w:tcBorders>
              <w:left w:val="single" w:color="auto" w:sz="4" w:space="0"/>
              <w:right w:val="single" w:color="auto" w:sz="4" w:space="0"/>
            </w:tcBorders>
          </w:tcPr>
          <w:p>
            <w:pPr>
              <w:ind w:right="-246" w:rightChars="-117"/>
              <w:jc w:val="center"/>
              <w:rPr>
                <w:rFonts w:hint="eastAsia"/>
                <w:color w:val="auto"/>
                <w:highlight w:val="none"/>
              </w:rPr>
            </w:pPr>
          </w:p>
        </w:tc>
        <w:tc>
          <w:tcPr>
            <w:tcW w:w="782" w:type="dxa"/>
            <w:tcBorders>
              <w:left w:val="single" w:color="auto" w:sz="4" w:space="0"/>
              <w:right w:val="single" w:color="auto" w:sz="4" w:space="0"/>
            </w:tcBorders>
          </w:tcPr>
          <w:p>
            <w:pPr>
              <w:ind w:right="-246" w:rightChars="-117"/>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spacing w:before="156" w:beforeLines="50" w:line="360" w:lineRule="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3</w:t>
            </w:r>
          </w:p>
        </w:tc>
        <w:tc>
          <w:tcPr>
            <w:tcW w:w="5558"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spacing w:before="156" w:beforeLines="50" w:line="360" w:lineRule="auto"/>
              <w:rPr>
                <w:rFonts w:hint="default" w:ascii="宋体" w:hAnsi="宋体" w:cs="Times New Roman"/>
                <w:color w:val="auto"/>
                <w:sz w:val="21"/>
                <w:szCs w:val="21"/>
                <w:highlight w:val="none"/>
                <w:lang w:val="en-US"/>
              </w:rPr>
            </w:pPr>
            <w:r>
              <w:rPr>
                <w:rFonts w:hint="eastAsia" w:ascii="宋体" w:hAnsi="宋体" w:cs="Times New Roman"/>
                <w:color w:val="auto"/>
                <w:sz w:val="21"/>
                <w:szCs w:val="21"/>
                <w:highlight w:val="none"/>
                <w:lang w:val="en-US" w:eastAsia="zh-CN"/>
              </w:rPr>
              <w:t>磋商响应声明是否包含要求的内容</w:t>
            </w:r>
          </w:p>
        </w:tc>
        <w:tc>
          <w:tcPr>
            <w:tcW w:w="900" w:type="dxa"/>
            <w:tcBorders>
              <w:left w:val="single" w:color="auto" w:sz="4" w:space="0"/>
              <w:right w:val="single" w:color="auto" w:sz="4" w:space="0"/>
            </w:tcBorders>
          </w:tcPr>
          <w:p>
            <w:pPr>
              <w:tabs>
                <w:tab w:val="left" w:pos="0"/>
              </w:tabs>
              <w:adjustRightInd w:val="0"/>
              <w:snapToGrid w:val="0"/>
              <w:spacing w:before="156" w:beforeLines="50" w:line="360" w:lineRule="auto"/>
              <w:ind w:firstLine="420" w:firstLineChars="200"/>
              <w:rPr>
                <w:rFonts w:hint="eastAsia" w:ascii="宋体" w:hAnsi="宋体" w:cs="Times New Roman"/>
                <w:color w:val="auto"/>
                <w:szCs w:val="21"/>
                <w:highlight w:val="none"/>
              </w:rPr>
            </w:pPr>
          </w:p>
        </w:tc>
        <w:tc>
          <w:tcPr>
            <w:tcW w:w="927" w:type="dxa"/>
            <w:tcBorders>
              <w:left w:val="single" w:color="auto" w:sz="4" w:space="0"/>
              <w:right w:val="single" w:color="auto" w:sz="4" w:space="0"/>
            </w:tcBorders>
          </w:tcPr>
          <w:p>
            <w:pPr>
              <w:ind w:right="-246" w:rightChars="-117"/>
              <w:jc w:val="center"/>
              <w:rPr>
                <w:rFonts w:hint="eastAsia"/>
                <w:color w:val="auto"/>
                <w:highlight w:val="none"/>
              </w:rPr>
            </w:pPr>
          </w:p>
        </w:tc>
        <w:tc>
          <w:tcPr>
            <w:tcW w:w="782" w:type="dxa"/>
            <w:tcBorders>
              <w:left w:val="single" w:color="auto" w:sz="4" w:space="0"/>
              <w:right w:val="single" w:color="auto" w:sz="4" w:space="0"/>
            </w:tcBorders>
          </w:tcPr>
          <w:p>
            <w:pPr>
              <w:ind w:right="-246" w:rightChars="-117"/>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spacing w:before="156" w:beforeLines="50" w:line="360" w:lineRule="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4</w:t>
            </w:r>
          </w:p>
        </w:tc>
        <w:tc>
          <w:tcPr>
            <w:tcW w:w="5558"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spacing w:before="156" w:beforeLines="50" w:line="360" w:lineRule="auto"/>
              <w:rPr>
                <w:rFonts w:hint="default"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特定资格条件</w:t>
            </w:r>
          </w:p>
        </w:tc>
        <w:tc>
          <w:tcPr>
            <w:tcW w:w="900" w:type="dxa"/>
            <w:tcBorders>
              <w:left w:val="single" w:color="auto" w:sz="4" w:space="0"/>
              <w:right w:val="single" w:color="auto" w:sz="4" w:space="0"/>
            </w:tcBorders>
          </w:tcPr>
          <w:p>
            <w:pPr>
              <w:tabs>
                <w:tab w:val="left" w:pos="0"/>
              </w:tabs>
              <w:adjustRightInd w:val="0"/>
              <w:snapToGrid w:val="0"/>
              <w:spacing w:before="156" w:beforeLines="50" w:line="360" w:lineRule="auto"/>
              <w:ind w:firstLine="420" w:firstLineChars="200"/>
              <w:rPr>
                <w:rFonts w:hint="eastAsia" w:ascii="宋体" w:hAnsi="宋体" w:cs="Times New Roman"/>
                <w:color w:val="auto"/>
                <w:szCs w:val="21"/>
                <w:highlight w:val="none"/>
              </w:rPr>
            </w:pPr>
          </w:p>
        </w:tc>
        <w:tc>
          <w:tcPr>
            <w:tcW w:w="927" w:type="dxa"/>
            <w:tcBorders>
              <w:left w:val="single" w:color="auto" w:sz="4" w:space="0"/>
              <w:right w:val="single" w:color="auto" w:sz="4" w:space="0"/>
            </w:tcBorders>
          </w:tcPr>
          <w:p>
            <w:pPr>
              <w:ind w:right="-246" w:rightChars="-117"/>
              <w:jc w:val="center"/>
              <w:rPr>
                <w:rFonts w:hint="eastAsia"/>
                <w:color w:val="auto"/>
                <w:highlight w:val="none"/>
              </w:rPr>
            </w:pPr>
          </w:p>
        </w:tc>
        <w:tc>
          <w:tcPr>
            <w:tcW w:w="782" w:type="dxa"/>
            <w:tcBorders>
              <w:left w:val="single" w:color="auto" w:sz="4" w:space="0"/>
              <w:right w:val="single" w:color="auto" w:sz="4" w:space="0"/>
            </w:tcBorders>
          </w:tcPr>
          <w:p>
            <w:pPr>
              <w:ind w:right="-246" w:rightChars="-117"/>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spacing w:before="156" w:beforeLines="50" w:line="360" w:lineRule="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5</w:t>
            </w:r>
          </w:p>
        </w:tc>
        <w:tc>
          <w:tcPr>
            <w:tcW w:w="5558"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spacing w:before="156" w:beforeLines="50" w:line="360" w:lineRule="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参加本次政府采购活动前3年内没有重大违法记录的书面声明。</w:t>
            </w:r>
          </w:p>
        </w:tc>
        <w:tc>
          <w:tcPr>
            <w:tcW w:w="900" w:type="dxa"/>
            <w:tcBorders>
              <w:left w:val="single" w:color="auto" w:sz="4" w:space="0"/>
              <w:right w:val="single" w:color="auto" w:sz="4" w:space="0"/>
            </w:tcBorders>
          </w:tcPr>
          <w:p>
            <w:pPr>
              <w:tabs>
                <w:tab w:val="left" w:pos="0"/>
              </w:tabs>
              <w:adjustRightInd w:val="0"/>
              <w:snapToGrid w:val="0"/>
              <w:spacing w:before="156" w:beforeLines="50" w:line="360" w:lineRule="auto"/>
              <w:ind w:firstLine="420" w:firstLineChars="200"/>
              <w:rPr>
                <w:rFonts w:hint="eastAsia" w:ascii="宋体" w:hAnsi="宋体" w:cs="Times New Roman"/>
                <w:color w:val="auto"/>
                <w:szCs w:val="21"/>
                <w:highlight w:val="none"/>
              </w:rPr>
            </w:pPr>
          </w:p>
        </w:tc>
        <w:tc>
          <w:tcPr>
            <w:tcW w:w="927" w:type="dxa"/>
            <w:tcBorders>
              <w:left w:val="single" w:color="auto" w:sz="4" w:space="0"/>
              <w:right w:val="single" w:color="auto" w:sz="4" w:space="0"/>
            </w:tcBorders>
          </w:tcPr>
          <w:p>
            <w:pPr>
              <w:ind w:right="-246" w:rightChars="-117"/>
              <w:jc w:val="center"/>
              <w:rPr>
                <w:rFonts w:hint="eastAsia"/>
                <w:color w:val="auto"/>
                <w:highlight w:val="none"/>
              </w:rPr>
            </w:pPr>
          </w:p>
        </w:tc>
        <w:tc>
          <w:tcPr>
            <w:tcW w:w="782" w:type="dxa"/>
            <w:tcBorders>
              <w:left w:val="single" w:color="auto" w:sz="4" w:space="0"/>
              <w:right w:val="single" w:color="auto" w:sz="4" w:space="0"/>
            </w:tcBorders>
          </w:tcPr>
          <w:p>
            <w:pPr>
              <w:ind w:right="-246" w:rightChars="-117"/>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spacing w:before="156" w:beforeLines="50" w:line="360" w:lineRule="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6</w:t>
            </w:r>
          </w:p>
        </w:tc>
        <w:tc>
          <w:tcPr>
            <w:tcW w:w="5558"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spacing w:before="156" w:beforeLines="50" w:line="360" w:lineRule="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信用查询情况（网上查询打印并加盖公章）</w:t>
            </w:r>
          </w:p>
        </w:tc>
        <w:tc>
          <w:tcPr>
            <w:tcW w:w="900" w:type="dxa"/>
            <w:tcBorders>
              <w:left w:val="single" w:color="auto" w:sz="4" w:space="0"/>
              <w:right w:val="single" w:color="auto" w:sz="4" w:space="0"/>
            </w:tcBorders>
          </w:tcPr>
          <w:p>
            <w:pPr>
              <w:tabs>
                <w:tab w:val="left" w:pos="0"/>
              </w:tabs>
              <w:adjustRightInd w:val="0"/>
              <w:snapToGrid w:val="0"/>
              <w:spacing w:before="156" w:beforeLines="50" w:line="360" w:lineRule="auto"/>
              <w:ind w:firstLine="420" w:firstLineChars="200"/>
              <w:rPr>
                <w:rFonts w:hint="eastAsia" w:ascii="宋体" w:hAnsi="宋体" w:cs="Times New Roman"/>
                <w:color w:val="auto"/>
                <w:szCs w:val="21"/>
                <w:highlight w:val="none"/>
              </w:rPr>
            </w:pPr>
          </w:p>
        </w:tc>
        <w:tc>
          <w:tcPr>
            <w:tcW w:w="927" w:type="dxa"/>
            <w:tcBorders>
              <w:left w:val="single" w:color="auto" w:sz="4" w:space="0"/>
              <w:right w:val="single" w:color="auto" w:sz="4" w:space="0"/>
            </w:tcBorders>
          </w:tcPr>
          <w:p>
            <w:pPr>
              <w:ind w:right="-246" w:rightChars="-117"/>
              <w:jc w:val="center"/>
              <w:rPr>
                <w:rFonts w:hint="eastAsia"/>
                <w:color w:val="auto"/>
                <w:highlight w:val="none"/>
              </w:rPr>
            </w:pPr>
          </w:p>
        </w:tc>
        <w:tc>
          <w:tcPr>
            <w:tcW w:w="782" w:type="dxa"/>
            <w:tcBorders>
              <w:left w:val="single" w:color="auto" w:sz="4" w:space="0"/>
              <w:right w:val="single" w:color="auto" w:sz="4" w:space="0"/>
            </w:tcBorders>
          </w:tcPr>
          <w:p>
            <w:pPr>
              <w:ind w:right="-246" w:rightChars="-117"/>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08" w:type="dxa"/>
            <w:gridSpan w:val="2"/>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spacing w:before="156" w:beforeLines="50" w:line="360" w:lineRule="auto"/>
              <w:ind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评审结论（合格或不合格）</w:t>
            </w:r>
          </w:p>
        </w:tc>
        <w:tc>
          <w:tcPr>
            <w:tcW w:w="900" w:type="dxa"/>
            <w:tcBorders>
              <w:left w:val="single" w:color="auto" w:sz="4" w:space="0"/>
              <w:right w:val="single" w:color="auto" w:sz="4" w:space="0"/>
            </w:tcBorders>
          </w:tcPr>
          <w:p>
            <w:pPr>
              <w:tabs>
                <w:tab w:val="left" w:pos="0"/>
              </w:tabs>
              <w:adjustRightInd w:val="0"/>
              <w:snapToGrid w:val="0"/>
              <w:spacing w:before="156" w:beforeLines="50" w:line="360" w:lineRule="auto"/>
              <w:ind w:firstLine="420" w:firstLineChars="200"/>
              <w:rPr>
                <w:rFonts w:hint="eastAsia" w:ascii="宋体" w:hAnsi="宋体" w:cs="Times New Roman"/>
                <w:color w:val="auto"/>
                <w:szCs w:val="21"/>
                <w:highlight w:val="none"/>
              </w:rPr>
            </w:pPr>
          </w:p>
        </w:tc>
        <w:tc>
          <w:tcPr>
            <w:tcW w:w="927" w:type="dxa"/>
            <w:tcBorders>
              <w:left w:val="single" w:color="auto" w:sz="4" w:space="0"/>
              <w:right w:val="single" w:color="auto" w:sz="4" w:space="0"/>
            </w:tcBorders>
          </w:tcPr>
          <w:p>
            <w:pPr>
              <w:ind w:right="-246" w:rightChars="-117"/>
              <w:jc w:val="center"/>
              <w:rPr>
                <w:rFonts w:hint="eastAsia"/>
                <w:color w:val="auto"/>
                <w:highlight w:val="none"/>
              </w:rPr>
            </w:pPr>
          </w:p>
        </w:tc>
        <w:tc>
          <w:tcPr>
            <w:tcW w:w="782" w:type="dxa"/>
            <w:tcBorders>
              <w:left w:val="single" w:color="auto" w:sz="4" w:space="0"/>
              <w:right w:val="single" w:color="auto" w:sz="4" w:space="0"/>
            </w:tcBorders>
          </w:tcPr>
          <w:p>
            <w:pPr>
              <w:ind w:right="-246" w:rightChars="-117"/>
              <w:jc w:val="center"/>
              <w:rPr>
                <w:rFonts w:hint="eastAsia"/>
                <w:color w:val="auto"/>
                <w:highlight w:val="none"/>
              </w:rPr>
            </w:pPr>
          </w:p>
        </w:tc>
      </w:tr>
    </w:tbl>
    <w:p>
      <w:pPr>
        <w:jc w:val="center"/>
        <w:rPr>
          <w:rFonts w:hint="eastAsia" w:ascii="宋体" w:cs="宋体"/>
          <w:b/>
          <w:bCs/>
          <w:color w:val="auto"/>
          <w:kern w:val="0"/>
          <w:szCs w:val="21"/>
          <w:highlight w:val="none"/>
        </w:rPr>
      </w:pPr>
    </w:p>
    <w:p>
      <w:pPr>
        <w:widowControl/>
        <w:spacing w:line="440" w:lineRule="exact"/>
        <w:ind w:firstLine="272"/>
        <w:jc w:val="center"/>
        <w:rPr>
          <w:rFonts w:hint="eastAsia" w:ascii="宋体" w:hAnsi="宋体" w:cs="宋体"/>
          <w:b/>
          <w:bCs/>
          <w:color w:val="auto"/>
          <w:kern w:val="0"/>
          <w:szCs w:val="21"/>
          <w:highlight w:val="none"/>
        </w:rPr>
      </w:pPr>
      <w:r>
        <w:rPr>
          <w:rFonts w:hint="eastAsia" w:ascii="宋体" w:cs="宋体"/>
          <w:b/>
          <w:bCs/>
          <w:color w:val="auto"/>
          <w:kern w:val="0"/>
          <w:szCs w:val="21"/>
          <w:highlight w:val="none"/>
        </w:rPr>
        <w:t>符合性评审表</w:t>
      </w:r>
    </w:p>
    <w:tbl>
      <w:tblPr>
        <w:tblStyle w:val="32"/>
        <w:tblpPr w:leftFromText="180" w:rightFromText="180" w:vertAnchor="text" w:horzAnchor="margin" w:tblpXSpec="center" w:tblpY="2"/>
        <w:tblW w:w="9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075"/>
        <w:gridCol w:w="3409"/>
        <w:gridCol w:w="1035"/>
        <w:gridCol w:w="975"/>
        <w:gridCol w:w="1095"/>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07" w:type="dxa"/>
            <w:vMerge w:val="restart"/>
            <w:tcBorders>
              <w:top w:val="single" w:color="auto" w:sz="4" w:space="0"/>
              <w:left w:val="single" w:color="auto" w:sz="4" w:space="0"/>
              <w:right w:val="single" w:color="auto" w:sz="4" w:space="0"/>
            </w:tcBorders>
            <w:vAlign w:val="center"/>
          </w:tcPr>
          <w:p>
            <w:pPr>
              <w:widowControl/>
              <w:adjustRightInd w:val="0"/>
              <w:snapToGrid w:val="0"/>
              <w:spacing w:before="156"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4484" w:type="dxa"/>
            <w:gridSpan w:val="2"/>
            <w:vMerge w:val="restart"/>
            <w:tcBorders>
              <w:top w:val="single" w:color="auto" w:sz="4" w:space="0"/>
              <w:left w:val="single" w:color="auto" w:sz="4" w:space="0"/>
              <w:right w:val="single" w:color="auto" w:sz="4" w:space="0"/>
            </w:tcBorders>
            <w:vAlign w:val="center"/>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检查内容</w:t>
            </w:r>
          </w:p>
        </w:tc>
        <w:tc>
          <w:tcPr>
            <w:tcW w:w="4031" w:type="dxa"/>
            <w:gridSpan w:val="4"/>
            <w:tcBorders>
              <w:top w:val="single" w:color="auto" w:sz="4" w:space="0"/>
              <w:left w:val="single" w:color="auto" w:sz="4" w:space="0"/>
              <w:right w:val="single" w:color="auto" w:sz="4" w:space="0"/>
            </w:tcBorders>
            <w:vAlign w:val="center"/>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7" w:type="dxa"/>
            <w:vMerge w:val="continue"/>
            <w:tcBorders>
              <w:left w:val="single" w:color="auto" w:sz="4" w:space="0"/>
              <w:right w:val="single" w:color="auto" w:sz="4" w:space="0"/>
            </w:tcBorders>
            <w:vAlign w:val="center"/>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4484" w:type="dxa"/>
            <w:gridSpan w:val="2"/>
            <w:vMerge w:val="continue"/>
            <w:tcBorders>
              <w:left w:val="single" w:color="auto" w:sz="4" w:space="0"/>
              <w:right w:val="single" w:color="auto" w:sz="4" w:space="0"/>
            </w:tcBorders>
            <w:vAlign w:val="center"/>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1035" w:type="dxa"/>
            <w:tcBorders>
              <w:top w:val="single" w:color="auto" w:sz="4" w:space="0"/>
              <w:left w:val="single" w:color="auto" w:sz="4" w:space="0"/>
              <w:right w:val="single" w:color="auto" w:sz="4" w:space="0"/>
            </w:tcBorders>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975" w:type="dxa"/>
            <w:tcBorders>
              <w:top w:val="single" w:color="auto" w:sz="4" w:space="0"/>
              <w:left w:val="single" w:color="auto" w:sz="4" w:space="0"/>
              <w:right w:val="single" w:color="auto" w:sz="4" w:space="0"/>
            </w:tcBorders>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1095" w:type="dxa"/>
            <w:tcBorders>
              <w:top w:val="single" w:color="auto" w:sz="4" w:space="0"/>
              <w:left w:val="single" w:color="auto" w:sz="4" w:space="0"/>
              <w:right w:val="single" w:color="auto" w:sz="4" w:space="0"/>
            </w:tcBorders>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926" w:type="dxa"/>
            <w:tcBorders>
              <w:top w:val="single" w:color="auto" w:sz="4" w:space="0"/>
              <w:left w:val="single" w:color="auto" w:sz="4" w:space="0"/>
              <w:right w:val="single" w:color="auto" w:sz="4" w:space="0"/>
            </w:tcBorders>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响应内容</w:t>
            </w:r>
          </w:p>
        </w:tc>
        <w:tc>
          <w:tcPr>
            <w:tcW w:w="34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响应文件载明的投标范围不小于磋商文件规定的磋商范围</w:t>
            </w:r>
          </w:p>
        </w:tc>
        <w:tc>
          <w:tcPr>
            <w:tcW w:w="1035" w:type="dxa"/>
            <w:tcBorders>
              <w:left w:val="single" w:color="auto" w:sz="4" w:space="0"/>
              <w:right w:val="single" w:color="auto" w:sz="4" w:space="0"/>
            </w:tcBorders>
            <w:vAlign w:val="center"/>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975" w:type="dxa"/>
            <w:tcBorders>
              <w:left w:val="single" w:color="auto" w:sz="4" w:space="0"/>
              <w:right w:val="single" w:color="auto" w:sz="4" w:space="0"/>
            </w:tcBorders>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1095" w:type="dxa"/>
            <w:tcBorders>
              <w:left w:val="single" w:color="auto" w:sz="4" w:space="0"/>
              <w:right w:val="single" w:color="auto" w:sz="4" w:space="0"/>
            </w:tcBorders>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926" w:type="dxa"/>
            <w:tcBorders>
              <w:left w:val="single" w:color="auto" w:sz="4" w:space="0"/>
              <w:right w:val="single" w:color="auto" w:sz="4" w:space="0"/>
            </w:tcBorders>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0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服务期</w:t>
            </w:r>
          </w:p>
        </w:tc>
        <w:tc>
          <w:tcPr>
            <w:tcW w:w="34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line="360" w:lineRule="auto"/>
              <w:jc w:val="left"/>
              <w:rPr>
                <w:rFonts w:hint="default" w:ascii="宋体" w:hAnsi="宋体" w:cs="宋体"/>
                <w:color w:val="auto"/>
                <w:kern w:val="0"/>
                <w:szCs w:val="21"/>
                <w:highlight w:val="none"/>
                <w:lang w:val="en-US" w:eastAsia="zh-CN"/>
              </w:rPr>
            </w:pPr>
            <w:r>
              <w:rPr>
                <w:rFonts w:hint="eastAsia" w:ascii="宋体" w:hAnsi="宋体" w:cs="宋体"/>
                <w:color w:val="auto"/>
                <w:highlight w:val="none"/>
                <w:lang w:val="en-US" w:eastAsia="zh-CN"/>
              </w:rPr>
              <w:t>履约期15日历日；</w:t>
            </w:r>
          </w:p>
        </w:tc>
        <w:tc>
          <w:tcPr>
            <w:tcW w:w="1035" w:type="dxa"/>
            <w:tcBorders>
              <w:left w:val="single" w:color="auto" w:sz="4" w:space="0"/>
              <w:right w:val="single" w:color="auto" w:sz="4" w:space="0"/>
            </w:tcBorders>
            <w:vAlign w:val="center"/>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975" w:type="dxa"/>
            <w:tcBorders>
              <w:left w:val="single" w:color="auto" w:sz="4" w:space="0"/>
              <w:right w:val="single" w:color="auto" w:sz="4" w:space="0"/>
            </w:tcBorders>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1095" w:type="dxa"/>
            <w:tcBorders>
              <w:left w:val="single" w:color="auto" w:sz="4" w:space="0"/>
              <w:right w:val="single" w:color="auto" w:sz="4" w:space="0"/>
            </w:tcBorders>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926" w:type="dxa"/>
            <w:tcBorders>
              <w:left w:val="single" w:color="auto" w:sz="4" w:space="0"/>
              <w:right w:val="single" w:color="auto" w:sz="4" w:space="0"/>
            </w:tcBorders>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448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line="360" w:lineRule="auto"/>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响应文件的签署、盖章</w:t>
            </w:r>
          </w:p>
        </w:tc>
        <w:tc>
          <w:tcPr>
            <w:tcW w:w="1035" w:type="dxa"/>
            <w:tcBorders>
              <w:left w:val="single" w:color="auto" w:sz="4" w:space="0"/>
              <w:right w:val="single" w:color="auto" w:sz="4" w:space="0"/>
            </w:tcBorders>
            <w:vAlign w:val="center"/>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975" w:type="dxa"/>
            <w:tcBorders>
              <w:left w:val="single" w:color="auto" w:sz="4" w:space="0"/>
              <w:right w:val="single" w:color="auto" w:sz="4" w:space="0"/>
            </w:tcBorders>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1095" w:type="dxa"/>
            <w:tcBorders>
              <w:left w:val="single" w:color="auto" w:sz="4" w:space="0"/>
              <w:right w:val="single" w:color="auto" w:sz="4" w:space="0"/>
            </w:tcBorders>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926" w:type="dxa"/>
            <w:tcBorders>
              <w:left w:val="single" w:color="auto" w:sz="4" w:space="0"/>
              <w:right w:val="single" w:color="auto" w:sz="4" w:space="0"/>
            </w:tcBorders>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6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448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符合磋商文件所有条款、条件且没有重大偏离或保留</w:t>
            </w:r>
          </w:p>
        </w:tc>
        <w:tc>
          <w:tcPr>
            <w:tcW w:w="1035" w:type="dxa"/>
            <w:tcBorders>
              <w:left w:val="single" w:color="auto" w:sz="4" w:space="0"/>
              <w:right w:val="single" w:color="auto" w:sz="4" w:space="0"/>
            </w:tcBorders>
            <w:vAlign w:val="center"/>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975" w:type="dxa"/>
            <w:tcBorders>
              <w:left w:val="single" w:color="auto" w:sz="4" w:space="0"/>
              <w:right w:val="single" w:color="auto" w:sz="4" w:space="0"/>
            </w:tcBorders>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1095" w:type="dxa"/>
            <w:tcBorders>
              <w:left w:val="single" w:color="auto" w:sz="4" w:space="0"/>
              <w:right w:val="single" w:color="auto" w:sz="4" w:space="0"/>
            </w:tcBorders>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926" w:type="dxa"/>
            <w:tcBorders>
              <w:left w:val="single" w:color="auto" w:sz="4" w:space="0"/>
              <w:right w:val="single" w:color="auto" w:sz="4" w:space="0"/>
            </w:tcBorders>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448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磋商文件规定的其他符合性条件</w:t>
            </w:r>
          </w:p>
        </w:tc>
        <w:tc>
          <w:tcPr>
            <w:tcW w:w="1035" w:type="dxa"/>
            <w:tcBorders>
              <w:left w:val="single" w:color="auto" w:sz="4" w:space="0"/>
              <w:right w:val="single" w:color="auto" w:sz="4" w:space="0"/>
            </w:tcBorders>
            <w:vAlign w:val="center"/>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975" w:type="dxa"/>
            <w:tcBorders>
              <w:left w:val="single" w:color="auto" w:sz="4" w:space="0"/>
              <w:right w:val="single" w:color="auto" w:sz="4" w:space="0"/>
            </w:tcBorders>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1095" w:type="dxa"/>
            <w:tcBorders>
              <w:left w:val="single" w:color="auto" w:sz="4" w:space="0"/>
              <w:right w:val="single" w:color="auto" w:sz="4" w:space="0"/>
            </w:tcBorders>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926" w:type="dxa"/>
            <w:tcBorders>
              <w:left w:val="single" w:color="auto" w:sz="4" w:space="0"/>
              <w:right w:val="single" w:color="auto" w:sz="4" w:space="0"/>
            </w:tcBorders>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91"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结论（合格/不合格）</w:t>
            </w:r>
          </w:p>
        </w:tc>
        <w:tc>
          <w:tcPr>
            <w:tcW w:w="1035" w:type="dxa"/>
            <w:tcBorders>
              <w:left w:val="single" w:color="auto" w:sz="4" w:space="0"/>
              <w:bottom w:val="single" w:color="auto" w:sz="4" w:space="0"/>
              <w:right w:val="single" w:color="auto" w:sz="4" w:space="0"/>
            </w:tcBorders>
            <w:vAlign w:val="center"/>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975" w:type="dxa"/>
            <w:tcBorders>
              <w:left w:val="single" w:color="auto" w:sz="4" w:space="0"/>
              <w:bottom w:val="single" w:color="auto" w:sz="4" w:space="0"/>
              <w:right w:val="single" w:color="auto" w:sz="4" w:space="0"/>
            </w:tcBorders>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1095" w:type="dxa"/>
            <w:tcBorders>
              <w:left w:val="single" w:color="auto" w:sz="4" w:space="0"/>
              <w:bottom w:val="single" w:color="auto" w:sz="4" w:space="0"/>
              <w:right w:val="single" w:color="auto" w:sz="4" w:space="0"/>
            </w:tcBorders>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c>
          <w:tcPr>
            <w:tcW w:w="926" w:type="dxa"/>
            <w:tcBorders>
              <w:left w:val="single" w:color="auto" w:sz="4" w:space="0"/>
              <w:bottom w:val="single" w:color="auto" w:sz="4" w:space="0"/>
              <w:right w:val="single" w:color="auto" w:sz="4" w:space="0"/>
            </w:tcBorders>
          </w:tcPr>
          <w:p>
            <w:pPr>
              <w:widowControl/>
              <w:adjustRightInd w:val="0"/>
              <w:snapToGrid w:val="0"/>
              <w:spacing w:before="156" w:beforeLines="50" w:line="360" w:lineRule="auto"/>
              <w:ind w:firstLine="420" w:firstLineChars="200"/>
              <w:jc w:val="left"/>
              <w:rPr>
                <w:rFonts w:hint="eastAsia" w:ascii="宋体" w:hAnsi="宋体" w:cs="宋体"/>
                <w:color w:val="auto"/>
                <w:kern w:val="0"/>
                <w:szCs w:val="21"/>
                <w:highlight w:val="none"/>
              </w:rPr>
            </w:pPr>
          </w:p>
        </w:tc>
      </w:tr>
    </w:tbl>
    <w:p>
      <w:pPr>
        <w:widowControl/>
        <w:jc w:val="left"/>
        <w:rPr>
          <w:rFonts w:hint="eastAsia" w:ascii="黑体" w:hAnsi="华文中宋"/>
          <w:b/>
          <w:bCs/>
          <w:color w:val="auto"/>
          <w:sz w:val="30"/>
          <w:highlight w:val="none"/>
        </w:rPr>
      </w:pPr>
      <w:r>
        <w:rPr>
          <w:rFonts w:ascii="宋体" w:hAnsi="宋体"/>
          <w:b/>
          <w:color w:val="auto"/>
          <w:szCs w:val="21"/>
          <w:highlight w:val="none"/>
        </w:rPr>
        <w:br w:type="page"/>
      </w:r>
      <w:r>
        <w:rPr>
          <w:rFonts w:hint="eastAsia" w:ascii="宋体" w:hAnsi="宋体"/>
          <w:b/>
          <w:color w:val="auto"/>
          <w:szCs w:val="21"/>
          <w:highlight w:val="none"/>
          <w:lang w:val="en-US" w:eastAsia="zh-CN"/>
        </w:rPr>
        <w:t xml:space="preserve">    </w:t>
      </w:r>
      <w:r>
        <w:rPr>
          <w:rFonts w:hint="eastAsia" w:ascii="黑体" w:eastAsia="黑体"/>
          <w:b/>
          <w:color w:val="auto"/>
          <w:sz w:val="32"/>
          <w:szCs w:val="32"/>
          <w:highlight w:val="none"/>
        </w:rPr>
        <w:t xml:space="preserve">                  </w:t>
      </w:r>
      <w:r>
        <w:rPr>
          <w:rFonts w:hint="eastAsia" w:ascii="黑体" w:hAnsi="华文中宋"/>
          <w:b/>
          <w:bCs/>
          <w:color w:val="auto"/>
          <w:sz w:val="30"/>
          <w:highlight w:val="none"/>
        </w:rPr>
        <w:t>评标细则</w:t>
      </w:r>
    </w:p>
    <w:tbl>
      <w:tblPr>
        <w:tblStyle w:val="32"/>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669"/>
        <w:gridCol w:w="1456"/>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31" w:type="dxa"/>
            <w:vAlign w:val="center"/>
          </w:tcPr>
          <w:p>
            <w:pPr>
              <w:jc w:val="left"/>
              <w:rPr>
                <w:rFonts w:ascii="宋体" w:hAnsi="宋体"/>
                <w:b/>
                <w:color w:val="auto"/>
                <w:sz w:val="22"/>
                <w:szCs w:val="22"/>
                <w:highlight w:val="none"/>
              </w:rPr>
            </w:pPr>
            <w:r>
              <w:rPr>
                <w:rFonts w:hint="eastAsia" w:ascii="宋体" w:hAnsi="宋体"/>
                <w:b/>
                <w:color w:val="auto"/>
                <w:sz w:val="22"/>
                <w:szCs w:val="22"/>
                <w:highlight w:val="none"/>
              </w:rPr>
              <w:t>分 项</w:t>
            </w:r>
          </w:p>
        </w:tc>
        <w:tc>
          <w:tcPr>
            <w:tcW w:w="669" w:type="dxa"/>
            <w:vAlign w:val="center"/>
          </w:tcPr>
          <w:p>
            <w:pPr>
              <w:jc w:val="left"/>
              <w:rPr>
                <w:rFonts w:ascii="宋体" w:hAnsi="宋体"/>
                <w:b/>
                <w:color w:val="auto"/>
                <w:sz w:val="22"/>
                <w:szCs w:val="22"/>
                <w:highlight w:val="none"/>
              </w:rPr>
            </w:pPr>
            <w:r>
              <w:rPr>
                <w:rFonts w:hint="eastAsia" w:ascii="宋体" w:hAnsi="宋体"/>
                <w:b/>
                <w:color w:val="auto"/>
                <w:sz w:val="22"/>
                <w:szCs w:val="22"/>
                <w:highlight w:val="none"/>
              </w:rPr>
              <w:t>分 值</w:t>
            </w:r>
          </w:p>
        </w:tc>
        <w:tc>
          <w:tcPr>
            <w:tcW w:w="8159" w:type="dxa"/>
            <w:gridSpan w:val="2"/>
            <w:vAlign w:val="center"/>
          </w:tcPr>
          <w:p>
            <w:pPr>
              <w:jc w:val="left"/>
              <w:rPr>
                <w:rFonts w:ascii="宋体" w:hAnsi="宋体"/>
                <w:color w:val="auto"/>
                <w:sz w:val="22"/>
                <w:szCs w:val="22"/>
                <w:highlight w:val="none"/>
              </w:rPr>
            </w:pPr>
            <w:r>
              <w:rPr>
                <w:rFonts w:hint="eastAsia" w:ascii="宋体" w:hAnsi="宋体"/>
                <w:b/>
                <w:color w:val="auto"/>
                <w:sz w:val="22"/>
                <w:szCs w:val="22"/>
                <w:highlight w:val="none"/>
              </w:rPr>
              <w:t>评 审 因 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831" w:type="dxa"/>
            <w:vAlign w:val="center"/>
          </w:tcPr>
          <w:p>
            <w:pPr>
              <w:rPr>
                <w:rFonts w:hint="eastAsia"/>
                <w:color w:val="auto"/>
                <w:highlight w:val="none"/>
              </w:rPr>
            </w:pPr>
            <w:r>
              <w:rPr>
                <w:rFonts w:hint="eastAsia"/>
                <w:color w:val="auto"/>
                <w:highlight w:val="none"/>
              </w:rPr>
              <w:t>价</w:t>
            </w:r>
          </w:p>
          <w:p>
            <w:pPr>
              <w:rPr>
                <w:rFonts w:hint="eastAsia"/>
                <w:color w:val="auto"/>
                <w:highlight w:val="none"/>
              </w:rPr>
            </w:pPr>
            <w:r>
              <w:rPr>
                <w:rFonts w:hint="eastAsia"/>
                <w:color w:val="auto"/>
                <w:highlight w:val="none"/>
              </w:rPr>
              <w:t>格</w:t>
            </w:r>
          </w:p>
          <w:p>
            <w:pPr>
              <w:rPr>
                <w:rFonts w:hint="eastAsia"/>
                <w:color w:val="auto"/>
                <w:highlight w:val="none"/>
              </w:rPr>
            </w:pPr>
            <w:r>
              <w:rPr>
                <w:rFonts w:hint="eastAsia"/>
                <w:color w:val="auto"/>
                <w:highlight w:val="none"/>
              </w:rPr>
              <w:t>部</w:t>
            </w:r>
          </w:p>
          <w:p>
            <w:pPr>
              <w:rPr>
                <w:color w:val="auto"/>
                <w:highlight w:val="none"/>
              </w:rPr>
            </w:pPr>
            <w:r>
              <w:rPr>
                <w:rFonts w:hint="eastAsia"/>
                <w:color w:val="auto"/>
                <w:highlight w:val="none"/>
              </w:rPr>
              <w:t>分</w:t>
            </w:r>
          </w:p>
        </w:tc>
        <w:tc>
          <w:tcPr>
            <w:tcW w:w="669" w:type="dxa"/>
            <w:vAlign w:val="center"/>
          </w:tcPr>
          <w:p>
            <w:pPr>
              <w:rPr>
                <w:rFonts w:hint="default"/>
                <w:color w:val="auto"/>
                <w:highlight w:val="none"/>
                <w:lang w:val="en-US"/>
              </w:rPr>
            </w:pPr>
            <w:r>
              <w:rPr>
                <w:rFonts w:hint="eastAsia"/>
                <w:color w:val="auto"/>
                <w:highlight w:val="none"/>
                <w:lang w:val="en-US" w:eastAsia="zh-CN"/>
              </w:rPr>
              <w:t>30</w:t>
            </w:r>
          </w:p>
        </w:tc>
        <w:tc>
          <w:tcPr>
            <w:tcW w:w="8159" w:type="dxa"/>
            <w:gridSpan w:val="2"/>
            <w:vAlign w:val="center"/>
          </w:tcPr>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资质审查合格、完全满足响应文件要求的有效供应商，其最后投标报价中最低投标报价为评标基准价，其价格分为满分；投标总报价超过采购预算限额的价格分计0分，作为无效投标处理；其他有效供应商的价格分统一按照以下公式计算：投标报价得分=（评标基准价/投标报价）×价格权值×100</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评标委员会认为供应商的报价明显低于其他通过符合性审查供应商的报价，有可能影响产品质量或者不能诚信履约的，应当要求其在评标现场合理的时间内提供说明，必要时提交相关证明材料；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831" w:type="dxa"/>
            <w:vMerge w:val="restart"/>
            <w:vAlign w:val="center"/>
          </w:tcPr>
          <w:p>
            <w:pPr>
              <w:rPr>
                <w:rFonts w:hint="eastAsia"/>
                <w:color w:val="auto"/>
                <w:highlight w:val="none"/>
              </w:rPr>
            </w:pPr>
            <w:r>
              <w:rPr>
                <w:rFonts w:hint="eastAsia"/>
                <w:color w:val="auto"/>
                <w:highlight w:val="none"/>
              </w:rPr>
              <w:t>商</w:t>
            </w:r>
          </w:p>
          <w:p>
            <w:pPr>
              <w:rPr>
                <w:rFonts w:hint="eastAsia"/>
                <w:color w:val="auto"/>
                <w:highlight w:val="none"/>
              </w:rPr>
            </w:pPr>
            <w:r>
              <w:rPr>
                <w:rFonts w:hint="eastAsia"/>
                <w:color w:val="auto"/>
                <w:highlight w:val="none"/>
              </w:rPr>
              <w:t>务</w:t>
            </w:r>
          </w:p>
          <w:p>
            <w:pPr>
              <w:rPr>
                <w:rFonts w:hint="eastAsia"/>
                <w:color w:val="auto"/>
                <w:highlight w:val="none"/>
              </w:rPr>
            </w:pPr>
            <w:r>
              <w:rPr>
                <w:rFonts w:hint="eastAsia"/>
                <w:color w:val="auto"/>
                <w:highlight w:val="none"/>
              </w:rPr>
              <w:t>部</w:t>
            </w:r>
          </w:p>
          <w:p>
            <w:pPr>
              <w:rPr>
                <w:color w:val="auto"/>
                <w:highlight w:val="none"/>
              </w:rPr>
            </w:pPr>
            <w:r>
              <w:rPr>
                <w:rFonts w:hint="eastAsia"/>
                <w:color w:val="auto"/>
                <w:highlight w:val="none"/>
              </w:rPr>
              <w:t>分</w:t>
            </w:r>
          </w:p>
        </w:tc>
        <w:tc>
          <w:tcPr>
            <w:tcW w:w="669" w:type="dxa"/>
            <w:vMerge w:val="restart"/>
            <w:vAlign w:val="center"/>
          </w:tcPr>
          <w:p>
            <w:pPr>
              <w:rPr>
                <w:rFonts w:hint="default"/>
                <w:color w:val="auto"/>
                <w:highlight w:val="none"/>
                <w:lang w:val="en-US" w:eastAsia="zh-CN"/>
              </w:rPr>
            </w:pPr>
            <w:r>
              <w:rPr>
                <w:rFonts w:hint="eastAsia"/>
                <w:color w:val="auto"/>
                <w:highlight w:val="none"/>
                <w:lang w:val="en-US" w:eastAsia="zh-CN"/>
              </w:rPr>
              <w:t>30</w:t>
            </w:r>
          </w:p>
        </w:tc>
        <w:tc>
          <w:tcPr>
            <w:tcW w:w="1456" w:type="dxa"/>
            <w:vAlign w:val="center"/>
          </w:tcPr>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供应商排名</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（5分）</w:t>
            </w:r>
          </w:p>
        </w:tc>
        <w:tc>
          <w:tcPr>
            <w:tcW w:w="6703" w:type="dxa"/>
            <w:vAlign w:val="center"/>
          </w:tcPr>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供应商在近年度（2021年、2022年）会计事务行业省级综合排名</w:t>
            </w:r>
            <w:r>
              <w:rPr>
                <w:rFonts w:hint="default" w:ascii="仿宋" w:hAnsi="仿宋" w:eastAsia="仿宋" w:cs="仿宋"/>
                <w:color w:val="auto"/>
                <w:highlight w:val="none"/>
                <w:lang w:val="en-US" w:eastAsia="zh-CN"/>
              </w:rPr>
              <w:t>1-30</w:t>
            </w:r>
            <w:r>
              <w:rPr>
                <w:rFonts w:hint="eastAsia" w:ascii="仿宋" w:hAnsi="仿宋" w:eastAsia="仿宋" w:cs="仿宋"/>
                <w:color w:val="auto"/>
                <w:highlight w:val="none"/>
                <w:lang w:val="en-US" w:eastAsia="zh-CN"/>
              </w:rPr>
              <w:t>位，计</w:t>
            </w:r>
            <w:r>
              <w:rPr>
                <w:rFonts w:hint="default" w:ascii="仿宋" w:hAnsi="仿宋" w:eastAsia="仿宋" w:cs="仿宋"/>
                <w:color w:val="auto"/>
                <w:highlight w:val="none"/>
                <w:lang w:val="en-US" w:eastAsia="zh-CN"/>
              </w:rPr>
              <w:t>5</w:t>
            </w:r>
            <w:r>
              <w:rPr>
                <w:rFonts w:hint="eastAsia" w:ascii="仿宋" w:hAnsi="仿宋" w:eastAsia="仿宋" w:cs="仿宋"/>
                <w:color w:val="auto"/>
                <w:highlight w:val="none"/>
                <w:lang w:val="en-US" w:eastAsia="zh-CN"/>
              </w:rPr>
              <w:t>分，排名</w:t>
            </w:r>
            <w:r>
              <w:rPr>
                <w:rFonts w:hint="default" w:ascii="仿宋" w:hAnsi="仿宋" w:eastAsia="仿宋" w:cs="仿宋"/>
                <w:color w:val="auto"/>
                <w:highlight w:val="none"/>
                <w:lang w:val="en-US" w:eastAsia="zh-CN"/>
              </w:rPr>
              <w:t>31-50</w:t>
            </w:r>
            <w:r>
              <w:rPr>
                <w:rFonts w:hint="eastAsia" w:ascii="仿宋" w:hAnsi="仿宋" w:eastAsia="仿宋" w:cs="仿宋"/>
                <w:color w:val="auto"/>
                <w:highlight w:val="none"/>
                <w:lang w:val="en-US" w:eastAsia="zh-CN"/>
              </w:rPr>
              <w:t>位，计</w:t>
            </w:r>
            <w:r>
              <w:rPr>
                <w:rFonts w:hint="default" w:ascii="仿宋" w:hAnsi="仿宋" w:eastAsia="仿宋" w:cs="仿宋"/>
                <w:color w:val="auto"/>
                <w:highlight w:val="none"/>
                <w:lang w:val="en-US" w:eastAsia="zh-CN"/>
              </w:rPr>
              <w:t>3</w:t>
            </w:r>
            <w:r>
              <w:rPr>
                <w:rFonts w:hint="eastAsia" w:ascii="仿宋" w:hAnsi="仿宋" w:eastAsia="仿宋" w:cs="仿宋"/>
                <w:color w:val="auto"/>
                <w:highlight w:val="none"/>
                <w:lang w:val="en-US" w:eastAsia="zh-CN"/>
              </w:rPr>
              <w:t>分，未进入排名的计</w:t>
            </w:r>
            <w:r>
              <w:rPr>
                <w:rFonts w:hint="default" w:ascii="仿宋" w:hAnsi="仿宋" w:eastAsia="仿宋" w:cs="仿宋"/>
                <w:color w:val="auto"/>
                <w:highlight w:val="none"/>
                <w:lang w:val="en-US" w:eastAsia="zh-CN"/>
              </w:rPr>
              <w:t>1</w:t>
            </w:r>
            <w:r>
              <w:rPr>
                <w:rFonts w:hint="eastAsia" w:ascii="仿宋" w:hAnsi="仿宋" w:eastAsia="仿宋" w:cs="仿宋"/>
                <w:color w:val="auto"/>
                <w:highlight w:val="none"/>
                <w:lang w:val="en-US" w:eastAsia="zh-CN"/>
              </w:rPr>
              <w:t>分。提供综合排名证明资料复印件。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831" w:type="dxa"/>
            <w:vMerge w:val="continue"/>
            <w:vAlign w:val="center"/>
          </w:tcPr>
          <w:p>
            <w:pPr>
              <w:rPr>
                <w:rFonts w:hint="eastAsia"/>
                <w:color w:val="auto"/>
                <w:highlight w:val="none"/>
              </w:rPr>
            </w:pPr>
          </w:p>
        </w:tc>
        <w:tc>
          <w:tcPr>
            <w:tcW w:w="669" w:type="dxa"/>
            <w:vMerge w:val="continue"/>
            <w:vAlign w:val="center"/>
          </w:tcPr>
          <w:p>
            <w:pPr>
              <w:rPr>
                <w:rFonts w:hint="eastAsia"/>
                <w:color w:val="auto"/>
                <w:highlight w:val="none"/>
                <w:lang w:val="en-US" w:eastAsia="zh-CN"/>
              </w:rPr>
            </w:pPr>
          </w:p>
        </w:tc>
        <w:tc>
          <w:tcPr>
            <w:tcW w:w="1456" w:type="dxa"/>
            <w:vAlign w:val="center"/>
          </w:tcPr>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供应商信用等级（5分）</w:t>
            </w:r>
          </w:p>
        </w:tc>
        <w:tc>
          <w:tcPr>
            <w:tcW w:w="6703" w:type="dxa"/>
            <w:vAlign w:val="center"/>
          </w:tcPr>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机构具有信用等级证书，信用等级为</w:t>
            </w:r>
            <w:r>
              <w:rPr>
                <w:rFonts w:hint="default" w:ascii="仿宋" w:hAnsi="仿宋" w:eastAsia="仿宋" w:cs="仿宋"/>
                <w:color w:val="auto"/>
                <w:highlight w:val="none"/>
                <w:lang w:val="en-US" w:eastAsia="zh-CN"/>
              </w:rPr>
              <w:t>AAA</w:t>
            </w:r>
            <w:r>
              <w:rPr>
                <w:rFonts w:hint="eastAsia" w:ascii="仿宋" w:hAnsi="仿宋" w:eastAsia="仿宋" w:cs="仿宋"/>
                <w:color w:val="auto"/>
                <w:highlight w:val="none"/>
                <w:lang w:val="en-US" w:eastAsia="zh-CN"/>
              </w:rPr>
              <w:t>级的计</w:t>
            </w:r>
            <w:r>
              <w:rPr>
                <w:rFonts w:hint="default" w:ascii="仿宋" w:hAnsi="仿宋" w:eastAsia="仿宋" w:cs="仿宋"/>
                <w:color w:val="auto"/>
                <w:highlight w:val="none"/>
                <w:lang w:val="en-US" w:eastAsia="zh-CN"/>
              </w:rPr>
              <w:t>5</w:t>
            </w:r>
            <w:r>
              <w:rPr>
                <w:rFonts w:hint="eastAsia" w:ascii="仿宋" w:hAnsi="仿宋" w:eastAsia="仿宋" w:cs="仿宋"/>
                <w:color w:val="auto"/>
                <w:highlight w:val="none"/>
                <w:lang w:val="en-US" w:eastAsia="zh-CN"/>
              </w:rPr>
              <w:t>分，信用等级为</w:t>
            </w:r>
            <w:r>
              <w:rPr>
                <w:rFonts w:hint="default" w:ascii="仿宋" w:hAnsi="仿宋" w:eastAsia="仿宋" w:cs="仿宋"/>
                <w:color w:val="auto"/>
                <w:highlight w:val="none"/>
                <w:lang w:val="en-US" w:eastAsia="zh-CN"/>
              </w:rPr>
              <w:t>AA</w:t>
            </w:r>
            <w:r>
              <w:rPr>
                <w:rFonts w:hint="eastAsia" w:ascii="仿宋" w:hAnsi="仿宋" w:eastAsia="仿宋" w:cs="仿宋"/>
                <w:color w:val="auto"/>
                <w:highlight w:val="none"/>
                <w:lang w:val="en-US" w:eastAsia="zh-CN"/>
              </w:rPr>
              <w:t>级的计</w:t>
            </w:r>
            <w:r>
              <w:rPr>
                <w:rFonts w:hint="default" w:ascii="仿宋" w:hAnsi="仿宋" w:eastAsia="仿宋" w:cs="仿宋"/>
                <w:color w:val="auto"/>
                <w:highlight w:val="none"/>
                <w:lang w:val="en-US" w:eastAsia="zh-CN"/>
              </w:rPr>
              <w:t>3</w:t>
            </w:r>
            <w:r>
              <w:rPr>
                <w:rFonts w:hint="eastAsia" w:ascii="仿宋" w:hAnsi="仿宋" w:eastAsia="仿宋" w:cs="仿宋"/>
                <w:color w:val="auto"/>
                <w:highlight w:val="none"/>
                <w:lang w:val="en-US" w:eastAsia="zh-CN"/>
              </w:rPr>
              <w:t>分，信用等级为</w:t>
            </w:r>
            <w:r>
              <w:rPr>
                <w:rFonts w:hint="default" w:ascii="仿宋" w:hAnsi="仿宋" w:eastAsia="仿宋" w:cs="仿宋"/>
                <w:color w:val="auto"/>
                <w:highlight w:val="none"/>
                <w:lang w:val="en-US" w:eastAsia="zh-CN"/>
              </w:rPr>
              <w:t>A</w:t>
            </w:r>
            <w:r>
              <w:rPr>
                <w:rFonts w:hint="eastAsia" w:ascii="仿宋" w:hAnsi="仿宋" w:eastAsia="仿宋" w:cs="仿宋"/>
                <w:color w:val="auto"/>
                <w:highlight w:val="none"/>
                <w:lang w:val="en-US" w:eastAsia="zh-CN"/>
              </w:rPr>
              <w:t>级的计</w:t>
            </w:r>
            <w:r>
              <w:rPr>
                <w:rFonts w:hint="default" w:ascii="仿宋" w:hAnsi="仿宋" w:eastAsia="仿宋" w:cs="仿宋"/>
                <w:color w:val="auto"/>
                <w:highlight w:val="none"/>
                <w:lang w:val="en-US" w:eastAsia="zh-CN"/>
              </w:rPr>
              <w:t>1</w:t>
            </w:r>
            <w:r>
              <w:rPr>
                <w:rFonts w:hint="eastAsia" w:ascii="仿宋" w:hAnsi="仿宋" w:eastAsia="仿宋" w:cs="仿宋"/>
                <w:color w:val="auto"/>
                <w:highlight w:val="none"/>
                <w:lang w:val="en-US" w:eastAsia="zh-CN"/>
              </w:rPr>
              <w:t>分。证书必须在有效期内，且能在企业信用查询平台上能查询到，同时提供证书的复印件。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31" w:type="dxa"/>
            <w:vMerge w:val="continue"/>
            <w:vAlign w:val="center"/>
          </w:tcPr>
          <w:p>
            <w:pPr>
              <w:rPr>
                <w:rFonts w:hint="eastAsia"/>
                <w:color w:val="auto"/>
                <w:highlight w:val="none"/>
              </w:rPr>
            </w:pPr>
          </w:p>
        </w:tc>
        <w:tc>
          <w:tcPr>
            <w:tcW w:w="669" w:type="dxa"/>
            <w:vMerge w:val="continue"/>
            <w:vAlign w:val="center"/>
          </w:tcPr>
          <w:p>
            <w:pPr>
              <w:rPr>
                <w:rFonts w:hint="eastAsia"/>
                <w:color w:val="auto"/>
                <w:highlight w:val="none"/>
                <w:lang w:val="en-US" w:eastAsia="zh-CN"/>
              </w:rPr>
            </w:pPr>
          </w:p>
        </w:tc>
        <w:tc>
          <w:tcPr>
            <w:tcW w:w="1456" w:type="dxa"/>
            <w:vAlign w:val="center"/>
          </w:tcPr>
          <w:p>
            <w:pP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供应商专业人员（10分）</w:t>
            </w:r>
          </w:p>
        </w:tc>
        <w:tc>
          <w:tcPr>
            <w:tcW w:w="6703" w:type="dxa"/>
            <w:vAlign w:val="center"/>
          </w:tcPr>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机构有注册会计师人数</w:t>
            </w:r>
            <w:r>
              <w:rPr>
                <w:rFonts w:hint="default" w:ascii="仿宋" w:hAnsi="仿宋" w:eastAsia="仿宋" w:cs="仿宋"/>
                <w:color w:val="auto"/>
                <w:highlight w:val="none"/>
                <w:lang w:val="en-US" w:eastAsia="zh-CN"/>
              </w:rPr>
              <w:t>9</w:t>
            </w:r>
            <w:r>
              <w:rPr>
                <w:rFonts w:hint="eastAsia" w:ascii="仿宋" w:hAnsi="仿宋" w:eastAsia="仿宋" w:cs="仿宋"/>
                <w:color w:val="auto"/>
                <w:highlight w:val="none"/>
                <w:lang w:val="en-US" w:eastAsia="zh-CN"/>
              </w:rPr>
              <w:t>人及以下计3分。每增加一名计0.2分。注册会计师人数最多计6分。（15人为满分）</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项目组人员配置中有省级以上财税高端人才（领军人才）、高层次人才和十大优秀（金牌）注册会计师的每一项计2分，最多计4分。</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提供注册会计师证书、相关荣誉证书复印件。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1" w:type="dxa"/>
            <w:vMerge w:val="continue"/>
            <w:vAlign w:val="center"/>
          </w:tcPr>
          <w:p>
            <w:pPr>
              <w:rPr>
                <w:rFonts w:hint="eastAsia"/>
                <w:color w:val="auto"/>
                <w:highlight w:val="none"/>
              </w:rPr>
            </w:pPr>
          </w:p>
        </w:tc>
        <w:tc>
          <w:tcPr>
            <w:tcW w:w="669" w:type="dxa"/>
            <w:vMerge w:val="continue"/>
            <w:vAlign w:val="center"/>
          </w:tcPr>
          <w:p>
            <w:pPr>
              <w:rPr>
                <w:rFonts w:hint="eastAsia"/>
                <w:color w:val="auto"/>
                <w:highlight w:val="none"/>
                <w:lang w:val="en-US" w:eastAsia="zh-CN"/>
              </w:rPr>
            </w:pPr>
          </w:p>
        </w:tc>
        <w:tc>
          <w:tcPr>
            <w:tcW w:w="1456" w:type="dxa"/>
            <w:vAlign w:val="center"/>
          </w:tcPr>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类似业绩</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（10分）</w:t>
            </w:r>
          </w:p>
        </w:tc>
        <w:tc>
          <w:tcPr>
            <w:tcW w:w="6703" w:type="dxa"/>
            <w:vAlign w:val="center"/>
          </w:tcPr>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自</w:t>
            </w:r>
            <w:r>
              <w:rPr>
                <w:rFonts w:hint="default" w:ascii="仿宋" w:hAnsi="仿宋" w:eastAsia="仿宋" w:cs="仿宋"/>
                <w:color w:val="auto"/>
                <w:highlight w:val="none"/>
                <w:lang w:val="en-US" w:eastAsia="zh-CN"/>
              </w:rPr>
              <w:t>2020</w:t>
            </w:r>
            <w:r>
              <w:rPr>
                <w:rFonts w:hint="eastAsia" w:ascii="仿宋" w:hAnsi="仿宋" w:eastAsia="仿宋" w:cs="仿宋"/>
                <w:color w:val="auto"/>
                <w:highlight w:val="none"/>
                <w:lang w:val="en-US" w:eastAsia="zh-CN"/>
              </w:rPr>
              <w:t>年7月</w:t>
            </w:r>
            <w:r>
              <w:rPr>
                <w:rFonts w:hint="default" w:ascii="仿宋" w:hAnsi="仿宋" w:eastAsia="仿宋" w:cs="仿宋"/>
                <w:color w:val="auto"/>
                <w:highlight w:val="none"/>
                <w:lang w:val="en-US" w:eastAsia="zh-CN"/>
              </w:rPr>
              <w:t>1</w:t>
            </w:r>
            <w:r>
              <w:rPr>
                <w:rFonts w:hint="eastAsia" w:ascii="仿宋" w:hAnsi="仿宋" w:eastAsia="仿宋" w:cs="仿宋"/>
                <w:color w:val="auto"/>
                <w:highlight w:val="none"/>
                <w:lang w:val="en-US" w:eastAsia="zh-CN"/>
              </w:rPr>
              <w:t>日以来（以合同签订时间为准）承担过类似业绩的，每提供一个，计5分，本项最多计10分。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jc w:val="center"/>
        </w:trPr>
        <w:tc>
          <w:tcPr>
            <w:tcW w:w="831" w:type="dxa"/>
            <w:vAlign w:val="center"/>
          </w:tcPr>
          <w:p>
            <w:pPr>
              <w:rPr>
                <w:rFonts w:hint="eastAsia"/>
                <w:color w:val="auto"/>
                <w:highlight w:val="none"/>
              </w:rPr>
            </w:pPr>
            <w:r>
              <w:rPr>
                <w:rFonts w:hint="eastAsia"/>
                <w:color w:val="auto"/>
                <w:highlight w:val="none"/>
              </w:rPr>
              <w:t>技</w:t>
            </w:r>
          </w:p>
          <w:p>
            <w:pPr>
              <w:rPr>
                <w:rFonts w:hint="eastAsia"/>
                <w:color w:val="auto"/>
                <w:highlight w:val="none"/>
              </w:rPr>
            </w:pPr>
            <w:r>
              <w:rPr>
                <w:rFonts w:hint="eastAsia"/>
                <w:color w:val="auto"/>
                <w:highlight w:val="none"/>
              </w:rPr>
              <w:t>术</w:t>
            </w:r>
          </w:p>
          <w:p>
            <w:pPr>
              <w:rPr>
                <w:rFonts w:hint="eastAsia"/>
                <w:color w:val="auto"/>
                <w:highlight w:val="none"/>
              </w:rPr>
            </w:pPr>
            <w:r>
              <w:rPr>
                <w:rFonts w:hint="eastAsia"/>
                <w:color w:val="auto"/>
                <w:highlight w:val="none"/>
              </w:rPr>
              <w:t>部</w:t>
            </w:r>
          </w:p>
          <w:p>
            <w:pPr>
              <w:rPr>
                <w:color w:val="auto"/>
                <w:highlight w:val="none"/>
              </w:rPr>
            </w:pPr>
            <w:r>
              <w:rPr>
                <w:rFonts w:hint="eastAsia"/>
                <w:color w:val="auto"/>
                <w:highlight w:val="none"/>
              </w:rPr>
              <w:t>分</w:t>
            </w:r>
          </w:p>
          <w:p>
            <w:pPr>
              <w:rPr>
                <w:color w:val="auto"/>
                <w:highlight w:val="none"/>
              </w:rPr>
            </w:pPr>
          </w:p>
        </w:tc>
        <w:tc>
          <w:tcPr>
            <w:tcW w:w="669" w:type="dxa"/>
            <w:vAlign w:val="center"/>
          </w:tcPr>
          <w:p>
            <w:pP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40</w:t>
            </w:r>
          </w:p>
        </w:tc>
        <w:tc>
          <w:tcPr>
            <w:tcW w:w="1456" w:type="dxa"/>
            <w:vAlign w:val="center"/>
          </w:tcPr>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整体方案（40分）</w:t>
            </w:r>
          </w:p>
          <w:p>
            <w:pPr>
              <w:rPr>
                <w:rFonts w:hint="eastAsia" w:ascii="仿宋" w:hAnsi="仿宋" w:eastAsia="仿宋" w:cs="仿宋"/>
                <w:color w:val="auto"/>
                <w:highlight w:val="none"/>
                <w:lang w:val="en-US" w:eastAsia="zh-CN"/>
              </w:rPr>
            </w:pPr>
          </w:p>
        </w:tc>
        <w:tc>
          <w:tcPr>
            <w:tcW w:w="6703" w:type="dxa"/>
            <w:vAlign w:val="center"/>
          </w:tcPr>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供应商需根据本项目实际编制整体方案。方案需包含：</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①具体的实施方案；</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②质量保证措施；</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③实施进度计划及保证措施。</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方案科学、合理、完整、详细、切实可行的计满分40分。</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其中缺漏第①项扣20分，缺漏②③项每项扣10分。未提供方案的不计分。</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方案不符合要求、有缺陷、不合理的每处扣2分，扣完为止。</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不符合要求、有缺陷、不合理是指：非专门针对本项目或不适用项目的情形、内容不完整或缺少关键节点、套用其他项目方案、内容前后矛盾、涉及的规范及标准错误、不利于项目实施、不可能实现的情形等任意一种情形。）</w:t>
            </w:r>
          </w:p>
        </w:tc>
      </w:tr>
    </w:tbl>
    <w:p>
      <w:pPr>
        <w:rPr>
          <w:rFonts w:hint="eastAsia"/>
          <w:color w:val="auto"/>
          <w:highlight w:val="none"/>
        </w:rPr>
      </w:pPr>
    </w:p>
    <w:p>
      <w:pPr>
        <w:rPr>
          <w:rFonts w:hint="eastAsia" w:ascii="宋体" w:hAnsi="宋体" w:cs="黑体"/>
          <w:b/>
          <w:color w:val="auto"/>
          <w:sz w:val="32"/>
          <w:szCs w:val="32"/>
          <w:highlight w:val="none"/>
        </w:rPr>
      </w:pPr>
      <w:r>
        <w:rPr>
          <w:rFonts w:hint="eastAsia" w:ascii="宋体" w:hAnsi="宋体" w:cs="黑体"/>
          <w:b/>
          <w:color w:val="auto"/>
          <w:sz w:val="32"/>
          <w:szCs w:val="32"/>
          <w:highlight w:val="none"/>
        </w:rPr>
        <w:br w:type="page"/>
      </w:r>
    </w:p>
    <w:p>
      <w:pPr>
        <w:adjustRightInd w:val="0"/>
        <w:snapToGrid w:val="0"/>
        <w:spacing w:beforeLines="50" w:line="400" w:lineRule="exact"/>
        <w:jc w:val="center"/>
        <w:rPr>
          <w:rFonts w:ascii="宋体" w:hAnsi="宋体" w:cs="黑体"/>
          <w:bCs/>
          <w:color w:val="auto"/>
          <w:sz w:val="32"/>
          <w:szCs w:val="32"/>
          <w:highlight w:val="none"/>
        </w:rPr>
      </w:pPr>
      <w:bookmarkStart w:id="13" w:name="_Toc18344"/>
      <w:r>
        <w:rPr>
          <w:rFonts w:hint="eastAsia" w:ascii="宋体" w:hAnsi="宋体" w:cs="黑体"/>
          <w:b/>
          <w:color w:val="auto"/>
          <w:sz w:val="32"/>
          <w:szCs w:val="32"/>
          <w:highlight w:val="none"/>
        </w:rPr>
        <w:t xml:space="preserve">第三章  </w:t>
      </w:r>
      <w:r>
        <w:rPr>
          <w:rFonts w:hint="eastAsia" w:ascii="宋体" w:hAnsi="宋体" w:cs="黑体"/>
          <w:b/>
          <w:bCs/>
          <w:color w:val="auto"/>
          <w:sz w:val="32"/>
          <w:szCs w:val="32"/>
          <w:highlight w:val="none"/>
        </w:rPr>
        <w:t xml:space="preserve"> 采购合同格式条款</w:t>
      </w:r>
    </w:p>
    <w:p>
      <w:pPr>
        <w:pStyle w:val="17"/>
        <w:snapToGrid w:val="0"/>
        <w:ind w:left="105" w:leftChars="50"/>
        <w:rPr>
          <w:rFonts w:ascii="宋体" w:hAnsi="宋体"/>
          <w:bCs/>
          <w:color w:val="auto"/>
          <w:szCs w:val="21"/>
          <w:highlight w:val="none"/>
        </w:rPr>
      </w:pPr>
    </w:p>
    <w:p>
      <w:pPr>
        <w:pStyle w:val="4"/>
        <w:adjustRightInd w:val="0"/>
        <w:snapToGrid w:val="0"/>
        <w:spacing w:beforeLines="50"/>
        <w:jc w:val="center"/>
        <w:rPr>
          <w:rFonts w:ascii="黑体" w:hAnsi="华文中宋" w:eastAsia="黑体"/>
          <w:color w:val="auto"/>
          <w:sz w:val="28"/>
          <w:szCs w:val="28"/>
          <w:highlight w:val="none"/>
        </w:rPr>
      </w:pPr>
      <w:bookmarkStart w:id="14" w:name="_Toc34637778"/>
      <w:bookmarkStart w:id="15" w:name="_Toc22201110"/>
      <w:bookmarkStart w:id="16" w:name="_Toc1225"/>
      <w:r>
        <w:rPr>
          <w:rFonts w:hint="eastAsia" w:ascii="黑体" w:hAnsi="华文中宋" w:eastAsia="黑体"/>
          <w:color w:val="auto"/>
          <w:sz w:val="28"/>
          <w:szCs w:val="28"/>
          <w:highlight w:val="none"/>
        </w:rPr>
        <w:t xml:space="preserve">第一节 </w:t>
      </w:r>
      <w:bookmarkEnd w:id="14"/>
      <w:bookmarkEnd w:id="15"/>
      <w:bookmarkEnd w:id="16"/>
      <w:r>
        <w:rPr>
          <w:rFonts w:hint="eastAsia" w:ascii="宋体" w:hAnsi="宋体" w:cs="黑体"/>
          <w:b/>
          <w:color w:val="auto"/>
          <w:sz w:val="32"/>
          <w:szCs w:val="32"/>
          <w:highlight w:val="none"/>
        </w:rPr>
        <w:t xml:space="preserve"> 采购合同协议书</w:t>
      </w:r>
    </w:p>
    <w:p>
      <w:pPr>
        <w:adjustRightInd w:val="0"/>
        <w:snapToGrid w:val="0"/>
        <w:spacing w:beforeLines="50" w:line="360" w:lineRule="auto"/>
        <w:ind w:firstLine="5460" w:firstLineChars="2600"/>
        <w:rPr>
          <w:rFonts w:ascii="宋体" w:hAnsi="宋体"/>
          <w:b/>
          <w:color w:val="auto"/>
          <w:szCs w:val="21"/>
          <w:highlight w:val="none"/>
        </w:rPr>
      </w:pPr>
      <w:r>
        <w:rPr>
          <w:rFonts w:hint="eastAsia" w:ascii="宋体" w:hAnsi="宋体"/>
          <w:color w:val="auto"/>
          <w:szCs w:val="21"/>
          <w:highlight w:val="none"/>
        </w:rPr>
        <w:t>采购合同编号：</w:t>
      </w:r>
    </w:p>
    <w:p>
      <w:pPr>
        <w:adjustRightInd w:val="0"/>
        <w:snapToGrid w:val="0"/>
        <w:spacing w:beforeLines="50" w:line="360" w:lineRule="auto"/>
        <w:rPr>
          <w:rFonts w:hint="eastAsia" w:ascii="微软雅黑" w:hAnsi="Times New Roman" w:eastAsia="微软雅黑" w:cs="Times New Roman"/>
          <w:color w:val="auto"/>
          <w:kern w:val="2"/>
          <w:sz w:val="21"/>
          <w:szCs w:val="21"/>
          <w:highlight w:val="none"/>
          <w:lang w:val="en-US" w:eastAsia="zh-CN" w:bidi="ar-SA"/>
        </w:rPr>
      </w:pPr>
      <w:r>
        <w:rPr>
          <w:rFonts w:hint="eastAsia" w:ascii="微软雅黑" w:hAnsi="Times New Roman" w:eastAsia="微软雅黑" w:cs="Times New Roman"/>
          <w:color w:val="auto"/>
          <w:kern w:val="2"/>
          <w:sz w:val="21"/>
          <w:szCs w:val="21"/>
          <w:highlight w:val="none"/>
          <w:lang w:val="en-US" w:eastAsia="zh-CN" w:bidi="ar-SA"/>
        </w:rPr>
        <w:t>采购人</w:t>
      </w:r>
      <w:r>
        <w:rPr>
          <w:rFonts w:hint="eastAsia" w:ascii="微软雅黑" w:eastAsia="微软雅黑" w:cs="Times New Roman"/>
          <w:color w:val="auto"/>
          <w:kern w:val="2"/>
          <w:sz w:val="21"/>
          <w:szCs w:val="21"/>
          <w:highlight w:val="none"/>
          <w:lang w:val="en-US" w:eastAsia="zh-CN" w:bidi="ar-SA"/>
        </w:rPr>
        <w:t>1</w:t>
      </w:r>
      <w:r>
        <w:rPr>
          <w:rFonts w:hint="eastAsia" w:ascii="微软雅黑" w:hAnsi="Times New Roman" w:eastAsia="微软雅黑" w:cs="Times New Roman"/>
          <w:color w:val="auto"/>
          <w:kern w:val="2"/>
          <w:sz w:val="21"/>
          <w:szCs w:val="21"/>
          <w:highlight w:val="none"/>
          <w:lang w:val="en-US" w:eastAsia="zh-CN" w:bidi="ar-SA"/>
        </w:rPr>
        <w:t>（全称）：</w:t>
      </w:r>
      <w:r>
        <w:rPr>
          <w:rFonts w:hint="eastAsia" w:ascii="微软雅黑" w:hAnsi="Times New Roman" w:eastAsia="微软雅黑" w:cs="Times New Roman"/>
          <w:color w:val="auto"/>
          <w:kern w:val="2"/>
          <w:sz w:val="21"/>
          <w:szCs w:val="21"/>
          <w:highlight w:val="none"/>
          <w:u w:val="single"/>
          <w:lang w:val="en-US" w:eastAsia="zh-CN" w:bidi="ar-SA"/>
        </w:rPr>
        <w:t>娄底市万宝新区开发投资集团有限公司</w:t>
      </w:r>
      <w:r>
        <w:rPr>
          <w:rFonts w:hint="eastAsia" w:ascii="微软雅黑" w:eastAsia="微软雅黑" w:cs="Times New Roman"/>
          <w:color w:val="auto"/>
          <w:kern w:val="2"/>
          <w:sz w:val="21"/>
          <w:szCs w:val="21"/>
          <w:highlight w:val="none"/>
          <w:u w:val="single"/>
          <w:lang w:val="en-US" w:eastAsia="zh-CN" w:bidi="ar-SA"/>
        </w:rPr>
        <w:t>（甲方1）</w:t>
      </w:r>
    </w:p>
    <w:p>
      <w:pPr>
        <w:pStyle w:val="27"/>
        <w:ind w:left="0" w:leftChars="0" w:firstLine="0" w:firstLineChars="0"/>
        <w:rPr>
          <w:rFonts w:hint="eastAsia" w:ascii="微软雅黑" w:hAnsi="Times New Roman" w:eastAsia="微软雅黑" w:cs="Times New Roman"/>
          <w:color w:val="auto"/>
          <w:kern w:val="2"/>
          <w:sz w:val="21"/>
          <w:szCs w:val="21"/>
          <w:highlight w:val="none"/>
          <w:lang w:val="en-US" w:eastAsia="zh-CN" w:bidi="ar-SA"/>
        </w:rPr>
      </w:pPr>
      <w:r>
        <w:rPr>
          <w:rFonts w:hint="eastAsia" w:ascii="微软雅黑" w:hAnsi="Times New Roman" w:eastAsia="微软雅黑" w:cs="Times New Roman"/>
          <w:color w:val="auto"/>
          <w:kern w:val="2"/>
          <w:sz w:val="21"/>
          <w:szCs w:val="21"/>
          <w:highlight w:val="none"/>
          <w:lang w:val="en-US" w:eastAsia="zh-CN" w:bidi="ar-SA"/>
        </w:rPr>
        <w:t>采购人</w:t>
      </w:r>
      <w:r>
        <w:rPr>
          <w:rFonts w:hint="eastAsia" w:ascii="微软雅黑" w:eastAsia="微软雅黑" w:cs="Times New Roman"/>
          <w:color w:val="auto"/>
          <w:kern w:val="2"/>
          <w:sz w:val="21"/>
          <w:szCs w:val="21"/>
          <w:highlight w:val="none"/>
          <w:lang w:val="en-US" w:eastAsia="zh-CN" w:bidi="ar-SA"/>
        </w:rPr>
        <w:t>2</w:t>
      </w:r>
      <w:r>
        <w:rPr>
          <w:rFonts w:hint="eastAsia" w:ascii="微软雅黑" w:hAnsi="Times New Roman" w:eastAsia="微软雅黑" w:cs="Times New Roman"/>
          <w:color w:val="auto"/>
          <w:kern w:val="2"/>
          <w:sz w:val="21"/>
          <w:szCs w:val="21"/>
          <w:highlight w:val="none"/>
          <w:lang w:val="en-US" w:eastAsia="zh-CN" w:bidi="ar-SA"/>
        </w:rPr>
        <w:t>（全称）：</w:t>
      </w:r>
      <w:r>
        <w:rPr>
          <w:rFonts w:hint="eastAsia" w:ascii="微软雅黑" w:hAnsi="Times New Roman" w:eastAsia="微软雅黑" w:cs="Times New Roman"/>
          <w:color w:val="auto"/>
          <w:kern w:val="2"/>
          <w:sz w:val="21"/>
          <w:szCs w:val="21"/>
          <w:highlight w:val="none"/>
          <w:u w:val="single"/>
          <w:lang w:val="en-US" w:eastAsia="zh-CN" w:bidi="ar-SA"/>
        </w:rPr>
        <w:t>湖南娄底路桥建设有限责任公司</w:t>
      </w:r>
      <w:r>
        <w:rPr>
          <w:rFonts w:hint="eastAsia" w:ascii="微软雅黑" w:eastAsia="微软雅黑" w:cs="Times New Roman"/>
          <w:color w:val="auto"/>
          <w:kern w:val="2"/>
          <w:sz w:val="21"/>
          <w:szCs w:val="21"/>
          <w:highlight w:val="none"/>
          <w:u w:val="single"/>
          <w:lang w:val="en-US" w:eastAsia="zh-CN" w:bidi="ar-SA"/>
        </w:rPr>
        <w:t>（甲方2）</w:t>
      </w:r>
    </w:p>
    <w:p>
      <w:pPr>
        <w:adjustRightInd w:val="0"/>
        <w:snapToGrid w:val="0"/>
        <w:spacing w:beforeLines="50" w:line="360" w:lineRule="auto"/>
        <w:rPr>
          <w:rFonts w:hint="eastAsia" w:ascii="微软雅黑" w:hAnsi="Times New Roman" w:eastAsia="微软雅黑" w:cs="Times New Roman"/>
          <w:color w:val="auto"/>
          <w:kern w:val="2"/>
          <w:sz w:val="21"/>
          <w:szCs w:val="21"/>
          <w:highlight w:val="none"/>
          <w:lang w:val="en-US" w:eastAsia="zh-CN" w:bidi="ar-SA"/>
        </w:rPr>
      </w:pPr>
      <w:r>
        <w:rPr>
          <w:rFonts w:hint="eastAsia" w:ascii="微软雅黑" w:hAnsi="Times New Roman" w:eastAsia="微软雅黑" w:cs="Times New Roman"/>
          <w:color w:val="auto"/>
          <w:kern w:val="2"/>
          <w:sz w:val="21"/>
          <w:szCs w:val="21"/>
          <w:highlight w:val="none"/>
          <w:lang w:val="en-US" w:eastAsia="zh-CN" w:bidi="ar-SA"/>
        </w:rPr>
        <w:t>供应商（全称）：</w:t>
      </w:r>
      <w:r>
        <w:rPr>
          <w:rFonts w:hint="eastAsia" w:ascii="微软雅黑" w:eastAsia="微软雅黑" w:cs="Times New Roman"/>
          <w:color w:val="auto"/>
          <w:kern w:val="2"/>
          <w:sz w:val="21"/>
          <w:szCs w:val="21"/>
          <w:highlight w:val="none"/>
          <w:u w:val="single"/>
          <w:lang w:val="en-US" w:eastAsia="zh-CN" w:bidi="ar-SA"/>
        </w:rPr>
        <w:t xml:space="preserve">                      </w:t>
      </w:r>
      <w:r>
        <w:rPr>
          <w:rFonts w:hint="eastAsia" w:ascii="微软雅黑" w:hAnsi="Times New Roman" w:eastAsia="微软雅黑" w:cs="Times New Roman"/>
          <w:color w:val="auto"/>
          <w:kern w:val="2"/>
          <w:sz w:val="21"/>
          <w:szCs w:val="21"/>
          <w:highlight w:val="none"/>
          <w:lang w:val="en-US" w:eastAsia="zh-CN" w:bidi="ar-SA"/>
        </w:rPr>
        <w:t>（乙方）</w:t>
      </w:r>
    </w:p>
    <w:p>
      <w:pPr>
        <w:pStyle w:val="19"/>
        <w:adjustRightInd w:val="0"/>
        <w:snapToGrid w:val="0"/>
        <w:spacing w:beforeLines="50" w:after="0" w:line="360" w:lineRule="auto"/>
        <w:ind w:left="0" w:leftChars="0" w:firstLine="420" w:firstLineChars="200"/>
        <w:rPr>
          <w:rFonts w:hint="eastAsia" w:ascii="微软雅黑" w:hAnsi="Times New Roman" w:eastAsia="微软雅黑" w:cs="Times New Roman"/>
          <w:color w:val="auto"/>
          <w:kern w:val="2"/>
          <w:sz w:val="21"/>
          <w:szCs w:val="21"/>
          <w:highlight w:val="none"/>
          <w:lang w:val="en-US" w:eastAsia="zh-CN" w:bidi="ar-SA"/>
        </w:rPr>
      </w:pPr>
      <w:r>
        <w:rPr>
          <w:rFonts w:hint="eastAsia" w:ascii="微软雅黑" w:hAnsi="Times New Roman" w:eastAsia="微软雅黑" w:cs="Times New Roman"/>
          <w:color w:val="auto"/>
          <w:kern w:val="2"/>
          <w:sz w:val="21"/>
          <w:szCs w:val="21"/>
          <w:highlight w:val="none"/>
          <w:lang w:val="en-US" w:eastAsia="zh-CN" w:bidi="ar-SA"/>
        </w:rPr>
        <w:t>为了保护甲</w:t>
      </w:r>
      <w:r>
        <w:rPr>
          <w:rFonts w:hint="eastAsia" w:ascii="微软雅黑" w:eastAsia="微软雅黑" w:cs="Times New Roman"/>
          <w:color w:val="auto"/>
          <w:kern w:val="2"/>
          <w:sz w:val="21"/>
          <w:szCs w:val="21"/>
          <w:highlight w:val="none"/>
          <w:lang w:val="en-US" w:eastAsia="zh-CN" w:bidi="ar-SA"/>
        </w:rPr>
        <w:t>（指甲方1和甲方2，下同）</w:t>
      </w:r>
      <w:r>
        <w:rPr>
          <w:rFonts w:hint="eastAsia" w:ascii="微软雅黑" w:hAnsi="Times New Roman" w:eastAsia="微软雅黑" w:cs="Times New Roman"/>
          <w:color w:val="auto"/>
          <w:kern w:val="2"/>
          <w:sz w:val="21"/>
          <w:szCs w:val="21"/>
          <w:highlight w:val="none"/>
          <w:lang w:val="en-US" w:eastAsia="zh-CN" w:bidi="ar-SA"/>
        </w:rPr>
        <w:t>、乙双方合法权益，根据《中华人民共和国民法典》、《中华人民共和国政府采购法》及其他有关法律、法规、规章，双方签订本合同协议书。</w:t>
      </w:r>
    </w:p>
    <w:p>
      <w:pPr>
        <w:keepNext w:val="0"/>
        <w:keepLines w:val="0"/>
        <w:pageBreakBefore w:val="0"/>
        <w:kinsoku/>
        <w:wordWrap/>
        <w:overflowPunct/>
        <w:topLinePunct w:val="0"/>
        <w:bidi w:val="0"/>
        <w:adjustRightInd w:val="0"/>
        <w:snapToGrid w:val="0"/>
        <w:spacing w:line="600" w:lineRule="exact"/>
        <w:ind w:firstLine="420" w:firstLineChars="200"/>
        <w:rPr>
          <w:rFonts w:hint="eastAsia" w:ascii="微软雅黑" w:eastAsia="微软雅黑"/>
          <w:b/>
          <w:color w:val="auto"/>
          <w:sz w:val="21"/>
          <w:szCs w:val="21"/>
          <w:highlight w:val="none"/>
        </w:rPr>
      </w:pPr>
      <w:r>
        <w:rPr>
          <w:rFonts w:hint="eastAsia" w:ascii="微软雅黑" w:eastAsia="微软雅黑"/>
          <w:b/>
          <w:color w:val="auto"/>
          <w:sz w:val="21"/>
          <w:szCs w:val="21"/>
          <w:highlight w:val="none"/>
        </w:rPr>
        <w:t>1.项目信息</w:t>
      </w:r>
    </w:p>
    <w:p>
      <w:pPr>
        <w:pStyle w:val="19"/>
        <w:keepNext w:val="0"/>
        <w:keepLines w:val="0"/>
        <w:pageBreakBefore w:val="0"/>
        <w:kinsoku/>
        <w:wordWrap/>
        <w:overflowPunct/>
        <w:topLinePunct w:val="0"/>
        <w:bidi w:val="0"/>
        <w:adjustRightInd w:val="0"/>
        <w:snapToGrid w:val="0"/>
        <w:spacing w:after="0" w:line="600" w:lineRule="exact"/>
        <w:ind w:left="480"/>
        <w:rPr>
          <w:rFonts w:hint="eastAsia" w:ascii="微软雅黑" w:eastAsia="微软雅黑"/>
          <w:color w:val="auto"/>
          <w:sz w:val="21"/>
          <w:szCs w:val="21"/>
          <w:highlight w:val="none"/>
          <w:u w:val="single"/>
          <w:lang w:val="en-US" w:eastAsia="zh-CN"/>
        </w:rPr>
      </w:pPr>
      <w:r>
        <w:rPr>
          <w:rFonts w:hint="eastAsia" w:ascii="微软雅黑" w:eastAsia="微软雅黑"/>
          <w:color w:val="auto"/>
          <w:sz w:val="21"/>
          <w:szCs w:val="21"/>
          <w:highlight w:val="none"/>
        </w:rPr>
        <w:t>（1）采购项目名称：</w:t>
      </w:r>
      <w:r>
        <w:rPr>
          <w:rFonts w:hint="eastAsia" w:ascii="微软雅黑" w:eastAsia="微软雅黑"/>
          <w:color w:val="auto"/>
          <w:sz w:val="21"/>
          <w:szCs w:val="21"/>
          <w:highlight w:val="none"/>
          <w:u w:val="single"/>
          <w:lang w:val="en-US" w:eastAsia="zh-CN"/>
        </w:rPr>
        <w:t>娄星南路北段及众园路建设工程回购款利息及借款利息咨询服务项目</w:t>
      </w:r>
    </w:p>
    <w:p>
      <w:pPr>
        <w:keepNext w:val="0"/>
        <w:keepLines w:val="0"/>
        <w:pageBreakBefore w:val="0"/>
        <w:kinsoku/>
        <w:wordWrap/>
        <w:overflowPunct/>
        <w:topLinePunct w:val="0"/>
        <w:bidi w:val="0"/>
        <w:adjustRightInd w:val="0"/>
        <w:snapToGrid w:val="0"/>
        <w:spacing w:line="600" w:lineRule="exact"/>
        <w:ind w:firstLine="420" w:firstLineChars="200"/>
        <w:rPr>
          <w:rFonts w:hint="eastAsia" w:ascii="微软雅黑" w:hAnsi="Times New Roman" w:eastAsia="微软雅黑" w:cs="Times New Roman"/>
          <w:color w:val="auto"/>
          <w:kern w:val="2"/>
          <w:sz w:val="21"/>
          <w:szCs w:val="21"/>
          <w:highlight w:val="none"/>
          <w:u w:val="single"/>
          <w:lang w:val="en-US" w:eastAsia="zh-CN" w:bidi="ar-SA"/>
        </w:rPr>
      </w:pPr>
      <w:r>
        <w:rPr>
          <w:rFonts w:hint="eastAsia" w:ascii="微软雅黑" w:eastAsia="微软雅黑"/>
          <w:color w:val="auto"/>
          <w:sz w:val="21"/>
          <w:szCs w:val="21"/>
          <w:highlight w:val="none"/>
        </w:rPr>
        <w:t>（</w:t>
      </w:r>
      <w:r>
        <w:rPr>
          <w:rFonts w:hint="eastAsia" w:ascii="微软雅黑" w:eastAsia="微软雅黑"/>
          <w:color w:val="auto"/>
          <w:sz w:val="21"/>
          <w:szCs w:val="21"/>
          <w:highlight w:val="none"/>
          <w:lang w:val="en-US" w:eastAsia="zh-CN"/>
        </w:rPr>
        <w:t>2</w:t>
      </w:r>
      <w:r>
        <w:rPr>
          <w:rFonts w:hint="eastAsia" w:ascii="微软雅黑" w:eastAsia="微软雅黑"/>
          <w:color w:val="auto"/>
          <w:sz w:val="21"/>
          <w:szCs w:val="21"/>
          <w:highlight w:val="none"/>
        </w:rPr>
        <w:t>）项目内容：</w:t>
      </w:r>
      <w:r>
        <w:rPr>
          <w:rFonts w:hint="eastAsia" w:ascii="微软雅黑" w:eastAsia="微软雅黑"/>
          <w:color w:val="auto"/>
          <w:sz w:val="21"/>
          <w:szCs w:val="21"/>
          <w:highlight w:val="none"/>
          <w:u w:val="single"/>
        </w:rPr>
        <w:t xml:space="preserve"> </w:t>
      </w:r>
      <w:r>
        <w:rPr>
          <w:rFonts w:hint="eastAsia" w:ascii="微软雅黑" w:eastAsia="微软雅黑" w:cs="Times New Roman"/>
          <w:color w:val="auto"/>
          <w:kern w:val="2"/>
          <w:sz w:val="21"/>
          <w:szCs w:val="21"/>
          <w:highlight w:val="none"/>
          <w:u w:val="single"/>
          <w:lang w:val="en-US" w:eastAsia="zh-CN" w:bidi="ar-SA"/>
        </w:rPr>
        <w:t>娄星南路北段(众园路至湘中大道)建设工程、娄星南路孙水河大桥(含沿河北路) 建设工程、众园路东段(K1+300-K2489.64段)新建工程审定工程款合计为 37666.66214 万元，另有经费借款8002 万元。现需根据相关文件计算本项目利息款，并出具核准报告。</w:t>
      </w:r>
    </w:p>
    <w:p>
      <w:pPr>
        <w:keepNext w:val="0"/>
        <w:keepLines w:val="0"/>
        <w:pageBreakBefore w:val="0"/>
        <w:kinsoku/>
        <w:wordWrap/>
        <w:overflowPunct/>
        <w:topLinePunct w:val="0"/>
        <w:bidi w:val="0"/>
        <w:adjustRightInd w:val="0"/>
        <w:snapToGrid w:val="0"/>
        <w:spacing w:line="600" w:lineRule="exact"/>
        <w:ind w:firstLine="420" w:firstLineChars="200"/>
        <w:rPr>
          <w:rFonts w:hint="eastAsia" w:ascii="微软雅黑" w:hAnsi="Times New Roman" w:eastAsia="微软雅黑" w:cs="Times New Roman"/>
          <w:color w:val="auto"/>
          <w:kern w:val="2"/>
          <w:sz w:val="21"/>
          <w:szCs w:val="21"/>
          <w:highlight w:val="none"/>
          <w:u w:val="single"/>
          <w:lang w:val="en-US" w:eastAsia="zh-CN" w:bidi="ar-SA"/>
        </w:rPr>
      </w:pPr>
      <w:r>
        <w:rPr>
          <w:rFonts w:hint="eastAsia" w:ascii="微软雅黑" w:eastAsia="微软雅黑"/>
          <w:color w:val="auto"/>
          <w:sz w:val="21"/>
          <w:szCs w:val="21"/>
          <w:highlight w:val="none"/>
          <w:lang w:eastAsia="zh-CN"/>
        </w:rPr>
        <w:t>（</w:t>
      </w:r>
      <w:r>
        <w:rPr>
          <w:rFonts w:hint="eastAsia" w:ascii="微软雅黑" w:eastAsia="微软雅黑"/>
          <w:color w:val="auto"/>
          <w:sz w:val="21"/>
          <w:szCs w:val="21"/>
          <w:highlight w:val="none"/>
          <w:lang w:val="en-US" w:eastAsia="zh-CN"/>
        </w:rPr>
        <w:t>3</w:t>
      </w:r>
      <w:r>
        <w:rPr>
          <w:rFonts w:hint="eastAsia" w:ascii="微软雅黑" w:eastAsia="微软雅黑"/>
          <w:color w:val="auto"/>
          <w:sz w:val="21"/>
          <w:szCs w:val="21"/>
          <w:highlight w:val="none"/>
          <w:lang w:eastAsia="zh-CN"/>
        </w:rPr>
        <w:t>）</w:t>
      </w:r>
      <w:r>
        <w:rPr>
          <w:rFonts w:hint="eastAsia" w:ascii="微软雅黑" w:eastAsia="微软雅黑"/>
          <w:color w:val="auto"/>
          <w:sz w:val="21"/>
          <w:szCs w:val="21"/>
          <w:highlight w:val="none"/>
        </w:rPr>
        <w:t>承包范围：</w:t>
      </w:r>
    </w:p>
    <w:p>
      <w:pPr>
        <w:keepNext w:val="0"/>
        <w:keepLines w:val="0"/>
        <w:pageBreakBefore w:val="0"/>
        <w:kinsoku/>
        <w:wordWrap/>
        <w:overflowPunct/>
        <w:topLinePunct w:val="0"/>
        <w:autoSpaceDE w:val="0"/>
        <w:autoSpaceDN w:val="0"/>
        <w:bidi w:val="0"/>
        <w:adjustRightInd w:val="0"/>
        <w:spacing w:line="600" w:lineRule="exact"/>
        <w:ind w:firstLine="420" w:firstLineChars="200"/>
        <w:jc w:val="left"/>
        <w:rPr>
          <w:rFonts w:hint="eastAsia" w:ascii="微软雅黑" w:eastAsia="微软雅黑"/>
          <w:b/>
          <w:color w:val="auto"/>
          <w:sz w:val="21"/>
          <w:szCs w:val="21"/>
          <w:highlight w:val="none"/>
          <w:lang w:eastAsia="zh-CN"/>
        </w:rPr>
      </w:pPr>
      <w:r>
        <w:rPr>
          <w:rFonts w:hint="eastAsia" w:ascii="微软雅黑" w:eastAsia="微软雅黑"/>
          <w:b/>
          <w:color w:val="auto"/>
          <w:sz w:val="21"/>
          <w:szCs w:val="21"/>
          <w:highlight w:val="none"/>
        </w:rPr>
        <w:t>2.</w:t>
      </w:r>
      <w:r>
        <w:rPr>
          <w:rFonts w:hint="eastAsia" w:ascii="微软雅黑" w:eastAsia="微软雅黑"/>
          <w:b/>
          <w:color w:val="auto"/>
          <w:sz w:val="21"/>
          <w:szCs w:val="21"/>
          <w:highlight w:val="none"/>
          <w:lang w:eastAsia="zh-CN"/>
        </w:rPr>
        <w:t>项目概况</w:t>
      </w:r>
    </w:p>
    <w:p>
      <w:pPr>
        <w:keepNext w:val="0"/>
        <w:keepLines w:val="0"/>
        <w:pageBreakBefore w:val="0"/>
        <w:kinsoku/>
        <w:wordWrap/>
        <w:overflowPunct/>
        <w:topLinePunct w:val="0"/>
        <w:autoSpaceDE w:val="0"/>
        <w:autoSpaceDN w:val="0"/>
        <w:bidi w:val="0"/>
        <w:adjustRightInd w:val="0"/>
        <w:spacing w:line="600" w:lineRule="exact"/>
        <w:ind w:firstLine="420" w:firstLineChars="200"/>
        <w:jc w:val="left"/>
        <w:rPr>
          <w:rFonts w:hint="eastAsia" w:ascii="仿宋_GB2312" w:eastAsia="仿宋_GB2312"/>
          <w:color w:val="auto"/>
          <w:kern w:val="0"/>
          <w:sz w:val="21"/>
          <w:szCs w:val="21"/>
          <w:highlight w:val="none"/>
        </w:rPr>
      </w:pPr>
      <w:r>
        <w:rPr>
          <w:rFonts w:hint="eastAsia" w:ascii="微软雅黑" w:eastAsia="微软雅黑"/>
          <w:color w:val="auto"/>
          <w:sz w:val="21"/>
          <w:szCs w:val="21"/>
          <w:highlight w:val="none"/>
          <w:lang w:val="en-US" w:eastAsia="zh-CN"/>
        </w:rPr>
        <w:t xml:space="preserve">  </w:t>
      </w:r>
      <w:r>
        <w:rPr>
          <w:rFonts w:hint="eastAsia" w:ascii="微软雅黑" w:eastAsia="微软雅黑"/>
          <w:color w:val="auto"/>
          <w:sz w:val="21"/>
          <w:szCs w:val="21"/>
          <w:highlight w:val="none"/>
          <w:lang w:eastAsia="zh-CN"/>
        </w:rPr>
        <w:t>项目名称（</w:t>
      </w:r>
      <w:r>
        <w:rPr>
          <w:rFonts w:hint="eastAsia" w:ascii="微软雅黑" w:eastAsia="微软雅黑"/>
          <w:color w:val="auto"/>
          <w:sz w:val="21"/>
          <w:szCs w:val="21"/>
          <w:highlight w:val="none"/>
          <w:lang w:val="en-US" w:eastAsia="zh-CN"/>
        </w:rPr>
        <w:t>包名称</w:t>
      </w:r>
      <w:r>
        <w:rPr>
          <w:rFonts w:hint="eastAsia" w:ascii="微软雅黑" w:eastAsia="微软雅黑"/>
          <w:color w:val="auto"/>
          <w:sz w:val="21"/>
          <w:szCs w:val="21"/>
          <w:highlight w:val="none"/>
          <w:lang w:eastAsia="zh-CN"/>
        </w:rPr>
        <w:t>）</w:t>
      </w:r>
      <w:r>
        <w:rPr>
          <w:rFonts w:hint="eastAsia" w:ascii="仿宋_GB2312" w:eastAsia="仿宋_GB2312"/>
          <w:color w:val="auto"/>
          <w:kern w:val="0"/>
          <w:sz w:val="21"/>
          <w:szCs w:val="21"/>
          <w:highlight w:val="none"/>
        </w:rPr>
        <w:t>：</w:t>
      </w:r>
      <w:r>
        <w:rPr>
          <w:rFonts w:hint="eastAsia" w:ascii="微软雅黑" w:eastAsia="微软雅黑"/>
          <w:color w:val="auto"/>
          <w:sz w:val="21"/>
          <w:szCs w:val="21"/>
          <w:highlight w:val="none"/>
          <w:u w:val="single"/>
          <w:lang w:val="en-US" w:eastAsia="zh-CN"/>
        </w:rPr>
        <w:t>娄星南路北段及众园路建设工程回购款利息及借款利息咨询服务项目</w:t>
      </w:r>
      <w:r>
        <w:rPr>
          <w:rFonts w:hint="eastAsia" w:ascii="微软雅黑" w:eastAsia="微软雅黑"/>
          <w:color w:val="auto"/>
          <w:sz w:val="21"/>
          <w:szCs w:val="21"/>
          <w:highlight w:val="none"/>
        </w:rPr>
        <w:t xml:space="preserve"> </w:t>
      </w:r>
      <w:r>
        <w:rPr>
          <w:rFonts w:hint="eastAsia" w:ascii="仿宋_GB2312" w:eastAsia="仿宋_GB2312"/>
          <w:color w:val="auto"/>
          <w:kern w:val="0"/>
          <w:sz w:val="21"/>
          <w:szCs w:val="21"/>
          <w:highlight w:val="none"/>
        </w:rPr>
        <w:t>。</w:t>
      </w:r>
    </w:p>
    <w:p>
      <w:pPr>
        <w:keepNext w:val="0"/>
        <w:keepLines w:val="0"/>
        <w:pageBreakBefore w:val="0"/>
        <w:kinsoku/>
        <w:wordWrap/>
        <w:overflowPunct/>
        <w:topLinePunct w:val="0"/>
        <w:autoSpaceDE w:val="0"/>
        <w:autoSpaceDN w:val="0"/>
        <w:bidi w:val="0"/>
        <w:adjustRightInd w:val="0"/>
        <w:spacing w:line="600" w:lineRule="exact"/>
        <w:ind w:firstLine="420" w:firstLineChars="200"/>
        <w:jc w:val="left"/>
        <w:rPr>
          <w:rFonts w:hint="eastAsia" w:ascii="仿宋_GB2312" w:eastAsia="仿宋_GB2312"/>
          <w:color w:val="auto"/>
          <w:kern w:val="0"/>
          <w:sz w:val="21"/>
          <w:szCs w:val="21"/>
          <w:highlight w:val="none"/>
        </w:rPr>
      </w:pPr>
      <w:r>
        <w:rPr>
          <w:rFonts w:hint="eastAsia" w:ascii="微软雅黑" w:eastAsia="微软雅黑"/>
          <w:color w:val="auto"/>
          <w:sz w:val="21"/>
          <w:szCs w:val="21"/>
          <w:highlight w:val="none"/>
          <w:lang w:val="en-US" w:eastAsia="zh-CN"/>
        </w:rPr>
        <w:t xml:space="preserve">  </w:t>
      </w:r>
      <w:r>
        <w:rPr>
          <w:rFonts w:hint="eastAsia" w:ascii="微软雅黑" w:eastAsia="微软雅黑"/>
          <w:color w:val="auto"/>
          <w:sz w:val="21"/>
          <w:szCs w:val="21"/>
          <w:highlight w:val="none"/>
          <w:lang w:eastAsia="zh-CN"/>
        </w:rPr>
        <w:t>服务地点</w:t>
      </w:r>
      <w:r>
        <w:rPr>
          <w:rFonts w:hint="eastAsia" w:ascii="微软雅黑" w:eastAsia="微软雅黑"/>
          <w:color w:val="auto"/>
          <w:sz w:val="21"/>
          <w:szCs w:val="21"/>
          <w:highlight w:val="none"/>
        </w:rPr>
        <w:t>：</w:t>
      </w:r>
      <w:r>
        <w:rPr>
          <w:rFonts w:hint="eastAsia" w:ascii="微软雅黑" w:eastAsia="微软雅黑"/>
          <w:color w:val="auto"/>
          <w:sz w:val="21"/>
          <w:szCs w:val="21"/>
          <w:highlight w:val="none"/>
          <w:u w:val="single"/>
          <w:lang w:eastAsia="zh-CN"/>
        </w:rPr>
        <w:t xml:space="preserve"> </w:t>
      </w:r>
      <w:r>
        <w:rPr>
          <w:rFonts w:hint="eastAsia" w:ascii="微软雅黑" w:eastAsia="微软雅黑" w:cs="Times New Roman"/>
          <w:color w:val="auto"/>
          <w:sz w:val="21"/>
          <w:szCs w:val="21"/>
          <w:highlight w:val="none"/>
          <w:u w:val="single"/>
          <w:lang w:val="en-US" w:eastAsia="zh-CN"/>
        </w:rPr>
        <w:t xml:space="preserve">            </w:t>
      </w:r>
      <w:r>
        <w:rPr>
          <w:rFonts w:hint="eastAsia" w:ascii="微软雅黑" w:hAnsi="Times New Roman" w:eastAsia="微软雅黑" w:cs="Times New Roman"/>
          <w:color w:val="auto"/>
          <w:sz w:val="21"/>
          <w:szCs w:val="21"/>
          <w:highlight w:val="none"/>
          <w:u w:val="single"/>
          <w:lang w:val="en-US" w:eastAsia="zh-CN"/>
        </w:rPr>
        <w:t xml:space="preserve"> </w:t>
      </w:r>
      <w:r>
        <w:rPr>
          <w:rFonts w:hint="eastAsia" w:ascii="微软雅黑" w:eastAsia="微软雅黑"/>
          <w:color w:val="auto"/>
          <w:sz w:val="21"/>
          <w:szCs w:val="21"/>
          <w:highlight w:val="none"/>
          <w:u w:val="single"/>
          <w:lang w:eastAsia="zh-CN"/>
        </w:rPr>
        <w:t xml:space="preserve"> </w:t>
      </w:r>
      <w:r>
        <w:rPr>
          <w:rFonts w:hint="eastAsia" w:ascii="仿宋_GB2312" w:eastAsia="仿宋_GB2312"/>
          <w:color w:val="auto"/>
          <w:kern w:val="0"/>
          <w:sz w:val="21"/>
          <w:szCs w:val="21"/>
          <w:highlight w:val="none"/>
        </w:rPr>
        <w:t xml:space="preserve"> 。</w:t>
      </w:r>
    </w:p>
    <w:p>
      <w:pPr>
        <w:keepNext w:val="0"/>
        <w:keepLines w:val="0"/>
        <w:pageBreakBefore w:val="0"/>
        <w:kinsoku/>
        <w:wordWrap/>
        <w:overflowPunct/>
        <w:topLinePunct w:val="0"/>
        <w:autoSpaceDE w:val="0"/>
        <w:autoSpaceDN w:val="0"/>
        <w:bidi w:val="0"/>
        <w:adjustRightInd w:val="0"/>
        <w:spacing w:line="600" w:lineRule="exact"/>
        <w:ind w:firstLine="420" w:firstLineChars="200"/>
        <w:jc w:val="left"/>
        <w:rPr>
          <w:rFonts w:hint="default" w:ascii="仿宋_GB2312" w:eastAsia="仿宋_GB2312"/>
          <w:color w:val="auto"/>
          <w:kern w:val="0"/>
          <w:sz w:val="21"/>
          <w:szCs w:val="21"/>
          <w:highlight w:val="none"/>
          <w:u w:val="single"/>
          <w:lang w:val="en-US"/>
        </w:rPr>
      </w:pPr>
      <w:r>
        <w:rPr>
          <w:rFonts w:hint="eastAsia" w:ascii="微软雅黑" w:eastAsia="微软雅黑"/>
          <w:color w:val="auto"/>
          <w:sz w:val="21"/>
          <w:szCs w:val="21"/>
          <w:highlight w:val="none"/>
          <w:lang w:val="en-US" w:eastAsia="zh-CN"/>
        </w:rPr>
        <w:t xml:space="preserve">  </w:t>
      </w:r>
      <w:r>
        <w:rPr>
          <w:rFonts w:hint="eastAsia" w:ascii="微软雅黑" w:eastAsia="微软雅黑"/>
          <w:color w:val="auto"/>
          <w:sz w:val="21"/>
          <w:szCs w:val="21"/>
          <w:highlight w:val="none"/>
          <w:lang w:eastAsia="zh-CN"/>
        </w:rPr>
        <w:t>服务</w:t>
      </w:r>
      <w:r>
        <w:rPr>
          <w:rFonts w:hint="eastAsia" w:ascii="微软雅黑" w:eastAsia="微软雅黑"/>
          <w:color w:val="auto"/>
          <w:sz w:val="21"/>
          <w:szCs w:val="21"/>
          <w:highlight w:val="none"/>
        </w:rPr>
        <w:t>范围：</w:t>
      </w:r>
      <w:r>
        <w:rPr>
          <w:rFonts w:hint="eastAsia" w:ascii="仿宋_GB2312" w:eastAsia="仿宋_GB2312"/>
          <w:color w:val="auto"/>
          <w:kern w:val="0"/>
          <w:sz w:val="21"/>
          <w:szCs w:val="21"/>
          <w:highlight w:val="none"/>
          <w:u w:val="single"/>
        </w:rPr>
        <w:t xml:space="preserve"> </w:t>
      </w:r>
      <w:r>
        <w:rPr>
          <w:rFonts w:hint="eastAsia" w:ascii="微软雅黑" w:eastAsia="微软雅黑"/>
          <w:color w:val="auto"/>
          <w:sz w:val="21"/>
          <w:szCs w:val="21"/>
          <w:highlight w:val="none"/>
          <w:u w:val="single"/>
        </w:rPr>
        <w:t xml:space="preserve"> </w:t>
      </w:r>
      <w:r>
        <w:rPr>
          <w:rFonts w:hint="eastAsia" w:ascii="微软雅黑" w:eastAsia="微软雅黑" w:cs="Times New Roman"/>
          <w:color w:val="auto"/>
          <w:kern w:val="2"/>
          <w:sz w:val="21"/>
          <w:szCs w:val="21"/>
          <w:highlight w:val="none"/>
          <w:u w:val="single"/>
          <w:lang w:val="en-US" w:eastAsia="zh-CN" w:bidi="ar-SA"/>
        </w:rPr>
        <w:t xml:space="preserve">             。</w:t>
      </w:r>
    </w:p>
    <w:p>
      <w:pPr>
        <w:keepNext w:val="0"/>
        <w:keepLines w:val="0"/>
        <w:pageBreakBefore w:val="0"/>
        <w:kinsoku/>
        <w:wordWrap/>
        <w:overflowPunct/>
        <w:topLinePunct w:val="0"/>
        <w:autoSpaceDE w:val="0"/>
        <w:autoSpaceDN w:val="0"/>
        <w:bidi w:val="0"/>
        <w:adjustRightInd w:val="0"/>
        <w:spacing w:line="600" w:lineRule="exact"/>
        <w:ind w:firstLine="420" w:firstLineChars="200"/>
        <w:jc w:val="left"/>
        <w:rPr>
          <w:rFonts w:hint="eastAsia" w:ascii="微软雅黑" w:eastAsia="微软雅黑"/>
          <w:b/>
          <w:color w:val="auto"/>
          <w:sz w:val="21"/>
          <w:szCs w:val="21"/>
          <w:highlight w:val="none"/>
        </w:rPr>
      </w:pPr>
      <w:r>
        <w:rPr>
          <w:rFonts w:hint="eastAsia" w:ascii="微软雅黑" w:eastAsia="微软雅黑"/>
          <w:b/>
          <w:color w:val="auto"/>
          <w:sz w:val="21"/>
          <w:szCs w:val="21"/>
          <w:highlight w:val="none"/>
        </w:rPr>
        <w:t>3.合同期</w:t>
      </w:r>
    </w:p>
    <w:p>
      <w:pPr>
        <w:keepNext w:val="0"/>
        <w:keepLines w:val="0"/>
        <w:pageBreakBefore w:val="0"/>
        <w:kinsoku/>
        <w:wordWrap/>
        <w:overflowPunct/>
        <w:topLinePunct w:val="0"/>
        <w:autoSpaceDE w:val="0"/>
        <w:autoSpaceDN w:val="0"/>
        <w:bidi w:val="0"/>
        <w:adjustRightInd w:val="0"/>
        <w:spacing w:line="600" w:lineRule="exact"/>
        <w:ind w:firstLine="420" w:firstLineChars="200"/>
        <w:jc w:val="left"/>
        <w:rPr>
          <w:rFonts w:hint="eastAsia" w:ascii="微软雅黑" w:eastAsia="微软雅黑"/>
          <w:color w:val="auto"/>
          <w:sz w:val="21"/>
          <w:szCs w:val="21"/>
          <w:highlight w:val="none"/>
        </w:rPr>
      </w:pPr>
      <w:r>
        <w:rPr>
          <w:rFonts w:hint="eastAsia" w:ascii="微软雅黑" w:eastAsia="微软雅黑"/>
          <w:color w:val="auto"/>
          <w:sz w:val="21"/>
          <w:szCs w:val="21"/>
          <w:highlight w:val="none"/>
        </w:rPr>
        <w:t>计划开</w:t>
      </w:r>
      <w:r>
        <w:rPr>
          <w:rFonts w:hint="eastAsia" w:ascii="微软雅黑" w:eastAsia="微软雅黑"/>
          <w:color w:val="auto"/>
          <w:sz w:val="21"/>
          <w:szCs w:val="21"/>
          <w:highlight w:val="none"/>
          <w:lang w:val="en-US" w:eastAsia="zh-CN"/>
        </w:rPr>
        <w:t>始</w:t>
      </w:r>
      <w:r>
        <w:rPr>
          <w:rFonts w:hint="eastAsia" w:ascii="微软雅黑" w:eastAsia="微软雅黑"/>
          <w:color w:val="auto"/>
          <w:sz w:val="21"/>
          <w:szCs w:val="21"/>
          <w:highlight w:val="none"/>
        </w:rPr>
        <w:t>日期：</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u w:val="single"/>
          <w:lang w:val="en-US" w:eastAsia="zh-CN"/>
        </w:rPr>
        <w:t>2023</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rPr>
        <w:t>年</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u w:val="single"/>
          <w:lang w:val="en-US" w:eastAsia="zh-CN"/>
        </w:rPr>
        <w:t xml:space="preserve">  </w:t>
      </w:r>
      <w:r>
        <w:rPr>
          <w:rFonts w:hint="eastAsia" w:ascii="微软雅黑" w:eastAsia="微软雅黑"/>
          <w:color w:val="auto"/>
          <w:sz w:val="21"/>
          <w:szCs w:val="21"/>
          <w:highlight w:val="none"/>
        </w:rPr>
        <w:t>月</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u w:val="single"/>
          <w:lang w:val="en-US" w:eastAsia="zh-CN"/>
        </w:rPr>
        <w:t xml:space="preserve">  </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rPr>
        <w:t>日。</w:t>
      </w:r>
    </w:p>
    <w:p>
      <w:pPr>
        <w:keepNext w:val="0"/>
        <w:keepLines w:val="0"/>
        <w:pageBreakBefore w:val="0"/>
        <w:kinsoku/>
        <w:wordWrap/>
        <w:overflowPunct/>
        <w:topLinePunct w:val="0"/>
        <w:autoSpaceDE w:val="0"/>
        <w:autoSpaceDN w:val="0"/>
        <w:bidi w:val="0"/>
        <w:adjustRightInd w:val="0"/>
        <w:spacing w:line="600" w:lineRule="exact"/>
        <w:ind w:firstLine="420" w:firstLineChars="200"/>
        <w:jc w:val="left"/>
        <w:rPr>
          <w:rFonts w:hint="eastAsia" w:ascii="仿宋_GB2312" w:eastAsia="仿宋_GB2312"/>
          <w:color w:val="auto"/>
          <w:kern w:val="0"/>
          <w:sz w:val="21"/>
          <w:szCs w:val="21"/>
          <w:highlight w:val="none"/>
        </w:rPr>
      </w:pPr>
      <w:r>
        <w:rPr>
          <w:rFonts w:hint="eastAsia" w:ascii="微软雅黑" w:eastAsia="微软雅黑"/>
          <w:color w:val="auto"/>
          <w:sz w:val="21"/>
          <w:szCs w:val="21"/>
          <w:highlight w:val="none"/>
        </w:rPr>
        <w:t>计划</w:t>
      </w:r>
      <w:r>
        <w:rPr>
          <w:rFonts w:hint="eastAsia" w:ascii="微软雅黑" w:eastAsia="微软雅黑"/>
          <w:color w:val="auto"/>
          <w:sz w:val="21"/>
          <w:szCs w:val="21"/>
          <w:highlight w:val="none"/>
          <w:lang w:val="en-US" w:eastAsia="zh-CN"/>
        </w:rPr>
        <w:t>结束</w:t>
      </w:r>
      <w:r>
        <w:rPr>
          <w:rFonts w:hint="eastAsia" w:ascii="微软雅黑" w:eastAsia="微软雅黑"/>
          <w:color w:val="auto"/>
          <w:sz w:val="21"/>
          <w:szCs w:val="21"/>
          <w:highlight w:val="none"/>
        </w:rPr>
        <w:t>日期：</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u w:val="single"/>
          <w:lang w:val="en-US" w:eastAsia="zh-CN"/>
        </w:rPr>
        <w:t>2023</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rPr>
        <w:t>年</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u w:val="single"/>
          <w:lang w:val="en-US" w:eastAsia="zh-CN"/>
        </w:rPr>
        <w:t xml:space="preserve">  </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rPr>
        <w:t>月</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u w:val="single"/>
          <w:lang w:val="en-US" w:eastAsia="zh-CN"/>
        </w:rPr>
        <w:t xml:space="preserve">   </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rPr>
        <w:t>日。</w:t>
      </w:r>
    </w:p>
    <w:p>
      <w:pPr>
        <w:keepNext w:val="0"/>
        <w:keepLines w:val="0"/>
        <w:pageBreakBefore w:val="0"/>
        <w:kinsoku/>
        <w:wordWrap/>
        <w:overflowPunct/>
        <w:topLinePunct w:val="0"/>
        <w:autoSpaceDE w:val="0"/>
        <w:autoSpaceDN w:val="0"/>
        <w:bidi w:val="0"/>
        <w:adjustRightInd w:val="0"/>
        <w:spacing w:line="600" w:lineRule="exact"/>
        <w:ind w:firstLine="420" w:firstLineChars="200"/>
        <w:jc w:val="left"/>
        <w:rPr>
          <w:rFonts w:hint="eastAsia" w:ascii="微软雅黑" w:eastAsia="微软雅黑"/>
          <w:color w:val="auto"/>
          <w:sz w:val="21"/>
          <w:szCs w:val="21"/>
          <w:highlight w:val="none"/>
        </w:rPr>
      </w:pPr>
      <w:r>
        <w:rPr>
          <w:rFonts w:hint="eastAsia" w:ascii="微软雅黑" w:eastAsia="微软雅黑"/>
          <w:color w:val="auto"/>
          <w:sz w:val="21"/>
          <w:szCs w:val="21"/>
          <w:highlight w:val="none"/>
          <w:lang w:eastAsia="zh-CN"/>
        </w:rPr>
        <w:t>服务期总日历天数</w:t>
      </w:r>
      <w:r>
        <w:rPr>
          <w:rFonts w:hint="eastAsia" w:ascii="微软雅黑" w:eastAsia="微软雅黑"/>
          <w:color w:val="auto"/>
          <w:sz w:val="21"/>
          <w:szCs w:val="21"/>
          <w:highlight w:val="none"/>
        </w:rPr>
        <w:t>：</w:t>
      </w:r>
      <w:r>
        <w:rPr>
          <w:rFonts w:hint="eastAsia" w:ascii="微软雅黑" w:eastAsia="微软雅黑"/>
          <w:color w:val="auto"/>
          <w:sz w:val="21"/>
          <w:szCs w:val="21"/>
          <w:highlight w:val="none"/>
          <w:u w:val="single"/>
          <w:lang w:val="en-US" w:eastAsia="zh-CN"/>
        </w:rPr>
        <w:t>15</w:t>
      </w:r>
      <w:r>
        <w:rPr>
          <w:rFonts w:hint="eastAsia" w:ascii="微软雅黑" w:eastAsia="微软雅黑"/>
          <w:color w:val="auto"/>
          <w:sz w:val="21"/>
          <w:szCs w:val="21"/>
          <w:highlight w:val="none"/>
        </w:rPr>
        <w:t>天。</w:t>
      </w:r>
      <w:r>
        <w:rPr>
          <w:rFonts w:hint="eastAsia" w:ascii="微软雅黑" w:eastAsia="微软雅黑"/>
          <w:color w:val="auto"/>
          <w:sz w:val="21"/>
          <w:szCs w:val="21"/>
          <w:highlight w:val="none"/>
          <w:lang w:eastAsia="zh-CN"/>
        </w:rPr>
        <w:t>服务期总日历天数</w:t>
      </w:r>
      <w:r>
        <w:rPr>
          <w:rFonts w:hint="eastAsia" w:ascii="微软雅黑" w:eastAsia="微软雅黑"/>
          <w:color w:val="auto"/>
          <w:sz w:val="21"/>
          <w:szCs w:val="21"/>
          <w:highlight w:val="none"/>
        </w:rPr>
        <w:t>与根据前述计划开</w:t>
      </w:r>
      <w:r>
        <w:rPr>
          <w:rFonts w:hint="eastAsia" w:ascii="微软雅黑" w:eastAsia="微软雅黑"/>
          <w:color w:val="auto"/>
          <w:sz w:val="21"/>
          <w:szCs w:val="21"/>
          <w:highlight w:val="none"/>
          <w:lang w:val="en-US" w:eastAsia="zh-CN"/>
        </w:rPr>
        <w:t>结束</w:t>
      </w:r>
      <w:r>
        <w:rPr>
          <w:rFonts w:hint="eastAsia" w:ascii="微软雅黑" w:eastAsia="微软雅黑"/>
          <w:color w:val="auto"/>
          <w:sz w:val="21"/>
          <w:szCs w:val="21"/>
          <w:highlight w:val="none"/>
        </w:rPr>
        <w:t>日期计算的天数不一致的，以</w:t>
      </w:r>
      <w:r>
        <w:rPr>
          <w:rFonts w:hint="eastAsia" w:ascii="微软雅黑" w:eastAsia="微软雅黑"/>
          <w:color w:val="auto"/>
          <w:sz w:val="21"/>
          <w:szCs w:val="21"/>
          <w:highlight w:val="none"/>
          <w:lang w:eastAsia="zh-CN"/>
        </w:rPr>
        <w:t>服务期总日历天数</w:t>
      </w:r>
      <w:r>
        <w:rPr>
          <w:rFonts w:hint="eastAsia" w:ascii="微软雅黑" w:eastAsia="微软雅黑"/>
          <w:color w:val="auto"/>
          <w:sz w:val="21"/>
          <w:szCs w:val="21"/>
          <w:highlight w:val="none"/>
        </w:rPr>
        <w:t>为准。</w:t>
      </w:r>
    </w:p>
    <w:p>
      <w:pPr>
        <w:keepNext w:val="0"/>
        <w:keepLines w:val="0"/>
        <w:pageBreakBefore w:val="0"/>
        <w:kinsoku/>
        <w:wordWrap/>
        <w:overflowPunct/>
        <w:topLinePunct w:val="0"/>
        <w:autoSpaceDE w:val="0"/>
        <w:autoSpaceDN w:val="0"/>
        <w:bidi w:val="0"/>
        <w:adjustRightInd w:val="0"/>
        <w:spacing w:line="600" w:lineRule="exact"/>
        <w:ind w:firstLine="420" w:firstLineChars="200"/>
        <w:jc w:val="left"/>
        <w:rPr>
          <w:rFonts w:hint="eastAsia" w:ascii="微软雅黑" w:eastAsia="微软雅黑"/>
          <w:b/>
          <w:color w:val="auto"/>
          <w:sz w:val="21"/>
          <w:szCs w:val="21"/>
          <w:highlight w:val="none"/>
        </w:rPr>
      </w:pPr>
      <w:r>
        <w:rPr>
          <w:rFonts w:hint="eastAsia" w:ascii="微软雅黑" w:eastAsia="微软雅黑"/>
          <w:b/>
          <w:color w:val="auto"/>
          <w:sz w:val="21"/>
          <w:szCs w:val="21"/>
          <w:highlight w:val="none"/>
        </w:rPr>
        <w:t>4.质量标准</w:t>
      </w:r>
    </w:p>
    <w:p>
      <w:pPr>
        <w:keepNext w:val="0"/>
        <w:keepLines w:val="0"/>
        <w:pageBreakBefore w:val="0"/>
        <w:kinsoku/>
        <w:wordWrap/>
        <w:overflowPunct/>
        <w:topLinePunct w:val="0"/>
        <w:bidi w:val="0"/>
        <w:spacing w:line="600" w:lineRule="exact"/>
        <w:ind w:firstLine="420" w:firstLineChars="200"/>
        <w:rPr>
          <w:rFonts w:hint="eastAsia" w:ascii="微软雅黑" w:eastAsia="微软雅黑"/>
          <w:color w:val="auto"/>
          <w:sz w:val="21"/>
          <w:szCs w:val="21"/>
          <w:highlight w:val="none"/>
        </w:rPr>
      </w:pPr>
      <w:r>
        <w:rPr>
          <w:rFonts w:hint="eastAsia" w:ascii="微软雅黑" w:eastAsia="微软雅黑"/>
          <w:color w:val="auto"/>
          <w:sz w:val="21"/>
          <w:szCs w:val="21"/>
          <w:highlight w:val="none"/>
          <w:u w:val="single"/>
          <w:lang w:eastAsia="zh-CN"/>
        </w:rPr>
        <w:t>根据相关文件计算本项目利息款，出具核准报告。并通过采购人（</w:t>
      </w:r>
      <w:r>
        <w:rPr>
          <w:rFonts w:hint="eastAsia" w:ascii="微软雅黑" w:eastAsia="微软雅黑" w:cs="Times New Roman"/>
          <w:color w:val="auto"/>
          <w:kern w:val="2"/>
          <w:sz w:val="21"/>
          <w:szCs w:val="21"/>
          <w:highlight w:val="none"/>
          <w:u w:val="single"/>
          <w:lang w:val="en-US" w:eastAsia="zh-CN" w:bidi="ar-SA"/>
        </w:rPr>
        <w:t>指采购人1和采购人2，下同）</w:t>
      </w:r>
      <w:r>
        <w:rPr>
          <w:rFonts w:hint="eastAsia" w:ascii="微软雅黑" w:eastAsia="微软雅黑"/>
          <w:color w:val="auto"/>
          <w:sz w:val="21"/>
          <w:szCs w:val="21"/>
          <w:highlight w:val="none"/>
          <w:u w:val="single"/>
          <w:lang w:eastAsia="zh-CN"/>
        </w:rPr>
        <w:t>验收。</w:t>
      </w:r>
      <w:r>
        <w:rPr>
          <w:rFonts w:hint="eastAsia" w:ascii="微软雅黑" w:eastAsia="微软雅黑"/>
          <w:color w:val="auto"/>
          <w:sz w:val="21"/>
          <w:szCs w:val="21"/>
          <w:highlight w:val="none"/>
        </w:rPr>
        <w:t xml:space="preserve"> </w:t>
      </w:r>
    </w:p>
    <w:p>
      <w:pPr>
        <w:keepNext w:val="0"/>
        <w:keepLines w:val="0"/>
        <w:pageBreakBefore w:val="0"/>
        <w:kinsoku/>
        <w:wordWrap/>
        <w:overflowPunct/>
        <w:topLinePunct w:val="0"/>
        <w:autoSpaceDE w:val="0"/>
        <w:autoSpaceDN w:val="0"/>
        <w:bidi w:val="0"/>
        <w:adjustRightInd w:val="0"/>
        <w:spacing w:line="600" w:lineRule="exact"/>
        <w:ind w:firstLine="420" w:firstLineChars="200"/>
        <w:jc w:val="left"/>
        <w:rPr>
          <w:rFonts w:hint="eastAsia" w:ascii="微软雅黑" w:eastAsia="微软雅黑"/>
          <w:b/>
          <w:color w:val="auto"/>
          <w:sz w:val="21"/>
          <w:szCs w:val="21"/>
          <w:highlight w:val="none"/>
        </w:rPr>
      </w:pPr>
      <w:r>
        <w:rPr>
          <w:rFonts w:hint="eastAsia" w:ascii="微软雅黑" w:eastAsia="微软雅黑"/>
          <w:b/>
          <w:color w:val="auto"/>
          <w:sz w:val="21"/>
          <w:szCs w:val="21"/>
          <w:highlight w:val="none"/>
        </w:rPr>
        <w:t>5.合同价与合同价格形式以及付款方式</w:t>
      </w:r>
    </w:p>
    <w:p>
      <w:pPr>
        <w:keepNext w:val="0"/>
        <w:keepLines w:val="0"/>
        <w:pageBreakBefore w:val="0"/>
        <w:kinsoku/>
        <w:wordWrap/>
        <w:overflowPunct/>
        <w:topLinePunct w:val="0"/>
        <w:autoSpaceDE w:val="0"/>
        <w:autoSpaceDN w:val="0"/>
        <w:bidi w:val="0"/>
        <w:adjustRightInd w:val="0"/>
        <w:spacing w:line="600" w:lineRule="exact"/>
        <w:ind w:firstLine="420" w:firstLineChars="200"/>
        <w:jc w:val="left"/>
        <w:rPr>
          <w:rFonts w:hint="eastAsia" w:ascii="微软雅黑" w:eastAsia="微软雅黑"/>
          <w:color w:val="auto"/>
          <w:sz w:val="21"/>
          <w:szCs w:val="21"/>
          <w:highlight w:val="none"/>
        </w:rPr>
      </w:pPr>
      <w:r>
        <w:rPr>
          <w:rFonts w:hint="eastAsia" w:ascii="微软雅黑" w:eastAsia="微软雅黑"/>
          <w:color w:val="auto"/>
          <w:sz w:val="21"/>
          <w:szCs w:val="21"/>
          <w:highlight w:val="none"/>
        </w:rPr>
        <w:t>1.合同价为：人民币（大写）</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u w:val="single"/>
          <w:lang w:val="en-US" w:eastAsia="zh-CN"/>
        </w:rPr>
        <w:t xml:space="preserve">            </w:t>
      </w:r>
      <w:r>
        <w:rPr>
          <w:rFonts w:hint="eastAsia" w:ascii="微软雅黑" w:eastAsia="微软雅黑"/>
          <w:color w:val="auto"/>
          <w:sz w:val="21"/>
          <w:szCs w:val="21"/>
          <w:highlight w:val="none"/>
        </w:rPr>
        <w:t>（￥</w:t>
      </w:r>
      <w:r>
        <w:rPr>
          <w:rFonts w:hint="eastAsia" w:ascii="微软雅黑" w:eastAsia="微软雅黑"/>
          <w:color w:val="auto"/>
          <w:sz w:val="21"/>
          <w:szCs w:val="21"/>
          <w:highlight w:val="none"/>
          <w:u w:val="single"/>
          <w:lang w:val="en-US" w:eastAsia="zh-CN"/>
        </w:rPr>
        <w:t xml:space="preserve">           </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rPr>
        <w:t>元）；</w:t>
      </w:r>
    </w:p>
    <w:p>
      <w:pPr>
        <w:keepNext w:val="0"/>
        <w:keepLines w:val="0"/>
        <w:pageBreakBefore w:val="0"/>
        <w:kinsoku/>
        <w:wordWrap/>
        <w:overflowPunct/>
        <w:topLinePunct w:val="0"/>
        <w:autoSpaceDE w:val="0"/>
        <w:autoSpaceDN w:val="0"/>
        <w:bidi w:val="0"/>
        <w:adjustRightInd w:val="0"/>
        <w:spacing w:line="600" w:lineRule="exact"/>
        <w:ind w:firstLine="420" w:firstLineChars="200"/>
        <w:jc w:val="left"/>
        <w:rPr>
          <w:rFonts w:hint="eastAsia" w:ascii="微软雅黑" w:eastAsia="微软雅黑"/>
          <w:color w:val="auto"/>
          <w:sz w:val="21"/>
          <w:szCs w:val="21"/>
          <w:highlight w:val="none"/>
        </w:rPr>
      </w:pPr>
      <w:r>
        <w:rPr>
          <w:rFonts w:hint="eastAsia" w:ascii="微软雅黑" w:eastAsia="微软雅黑"/>
          <w:color w:val="auto"/>
          <w:sz w:val="21"/>
          <w:szCs w:val="21"/>
          <w:highlight w:val="none"/>
        </w:rPr>
        <w:t>2.合同价格形式：</w:t>
      </w:r>
      <w:r>
        <w:rPr>
          <w:rFonts w:hint="eastAsia" w:ascii="微软雅黑" w:eastAsia="微软雅黑"/>
          <w:color w:val="auto"/>
          <w:sz w:val="21"/>
          <w:szCs w:val="21"/>
          <w:highlight w:val="none"/>
          <w:u w:val="single"/>
          <w:lang w:eastAsia="zh-CN"/>
        </w:rPr>
        <w:t>总价合同</w:t>
      </w:r>
      <w:r>
        <w:rPr>
          <w:rFonts w:hint="eastAsia" w:ascii="微软雅黑" w:eastAsia="微软雅黑"/>
          <w:color w:val="auto"/>
          <w:sz w:val="21"/>
          <w:szCs w:val="21"/>
          <w:highlight w:val="none"/>
        </w:rPr>
        <w:t>。</w:t>
      </w:r>
    </w:p>
    <w:p>
      <w:pPr>
        <w:keepNext w:val="0"/>
        <w:keepLines w:val="0"/>
        <w:pageBreakBefore w:val="0"/>
        <w:kinsoku/>
        <w:wordWrap/>
        <w:overflowPunct/>
        <w:topLinePunct w:val="0"/>
        <w:autoSpaceDE w:val="0"/>
        <w:autoSpaceDN w:val="0"/>
        <w:bidi w:val="0"/>
        <w:adjustRightInd w:val="0"/>
        <w:spacing w:line="600" w:lineRule="exact"/>
        <w:ind w:firstLine="420" w:firstLineChars="200"/>
        <w:jc w:val="left"/>
        <w:rPr>
          <w:rFonts w:hint="eastAsia" w:ascii="仿宋_GB2312" w:eastAsia="仿宋_GB2312" w:cs="宋体-PUA"/>
          <w:b/>
          <w:color w:val="auto"/>
          <w:kern w:val="0"/>
          <w:sz w:val="21"/>
          <w:szCs w:val="21"/>
          <w:highlight w:val="none"/>
        </w:rPr>
      </w:pPr>
      <w:r>
        <w:rPr>
          <w:rFonts w:hint="eastAsia" w:ascii="微软雅黑" w:eastAsia="微软雅黑" w:cs="微软雅黑"/>
          <w:b/>
          <w:color w:val="auto"/>
          <w:sz w:val="21"/>
          <w:szCs w:val="21"/>
          <w:highlight w:val="none"/>
        </w:rPr>
        <w:t>付款方式</w:t>
      </w:r>
      <w:r>
        <w:rPr>
          <w:rFonts w:hint="eastAsia" w:ascii="仿宋_GB2312" w:eastAsia="仿宋_GB2312" w:cs="宋体-PUA"/>
          <w:b/>
          <w:color w:val="auto"/>
          <w:kern w:val="0"/>
          <w:sz w:val="21"/>
          <w:szCs w:val="21"/>
          <w:highlight w:val="none"/>
        </w:rPr>
        <w:t>：</w:t>
      </w:r>
      <w:r>
        <w:rPr>
          <w:rFonts w:hint="eastAsia" w:ascii="微软雅黑" w:eastAsia="微软雅黑" w:cs="微软雅黑"/>
          <w:b w:val="0"/>
          <w:bCs/>
          <w:color w:val="auto"/>
          <w:sz w:val="21"/>
          <w:szCs w:val="21"/>
          <w:highlight w:val="none"/>
          <w:lang w:val="en-US" w:eastAsia="zh-CN"/>
        </w:rPr>
        <w:t>提供的相关工作成果文件经采购人审核认可后，一个月内按成交金额全部支付。</w:t>
      </w:r>
    </w:p>
    <w:p>
      <w:pPr>
        <w:keepNext w:val="0"/>
        <w:keepLines w:val="0"/>
        <w:pageBreakBefore w:val="0"/>
        <w:kinsoku/>
        <w:wordWrap/>
        <w:overflowPunct/>
        <w:topLinePunct w:val="0"/>
        <w:autoSpaceDE w:val="0"/>
        <w:autoSpaceDN w:val="0"/>
        <w:bidi w:val="0"/>
        <w:adjustRightInd w:val="0"/>
        <w:spacing w:line="600" w:lineRule="exact"/>
        <w:ind w:firstLine="420" w:firstLineChars="200"/>
        <w:jc w:val="left"/>
        <w:rPr>
          <w:rFonts w:hint="eastAsia" w:ascii="微软雅黑" w:hAnsi="Times New Roman" w:eastAsia="微软雅黑" w:cs="微软雅黑"/>
          <w:b w:val="0"/>
          <w:bCs/>
          <w:color w:val="auto"/>
          <w:sz w:val="21"/>
          <w:szCs w:val="21"/>
          <w:highlight w:val="none"/>
        </w:rPr>
      </w:pPr>
      <w:r>
        <w:rPr>
          <w:rFonts w:hint="eastAsia" w:ascii="微软雅黑" w:hAnsi="Times New Roman" w:eastAsia="微软雅黑" w:cs="微软雅黑"/>
          <w:b/>
          <w:color w:val="auto"/>
          <w:sz w:val="21"/>
          <w:szCs w:val="21"/>
          <w:highlight w:val="none"/>
        </w:rPr>
        <w:t>履约保证金：</w:t>
      </w:r>
      <w:r>
        <w:rPr>
          <w:rFonts w:hint="eastAsia" w:ascii="微软雅黑" w:hAnsi="Times New Roman" w:eastAsia="微软雅黑" w:cs="微软雅黑"/>
          <w:b w:val="0"/>
          <w:bCs/>
          <w:color w:val="auto"/>
          <w:sz w:val="21"/>
          <w:szCs w:val="21"/>
          <w:highlight w:val="none"/>
          <w:lang w:val="en-US" w:eastAsia="zh-CN"/>
        </w:rPr>
        <w:t>不需要提供</w:t>
      </w:r>
      <w:r>
        <w:rPr>
          <w:rFonts w:hint="eastAsia" w:ascii="微软雅黑" w:hAnsi="Times New Roman" w:eastAsia="微软雅黑" w:cs="微软雅黑"/>
          <w:b w:val="0"/>
          <w:bCs/>
          <w:color w:val="auto"/>
          <w:sz w:val="21"/>
          <w:szCs w:val="21"/>
          <w:highlight w:val="none"/>
        </w:rPr>
        <w:t>。</w:t>
      </w:r>
    </w:p>
    <w:p>
      <w:pPr>
        <w:keepNext w:val="0"/>
        <w:keepLines w:val="0"/>
        <w:pageBreakBefore w:val="0"/>
        <w:kinsoku/>
        <w:wordWrap/>
        <w:overflowPunct/>
        <w:topLinePunct w:val="0"/>
        <w:autoSpaceDE w:val="0"/>
        <w:autoSpaceDN w:val="0"/>
        <w:bidi w:val="0"/>
        <w:adjustRightInd w:val="0"/>
        <w:spacing w:line="600" w:lineRule="exact"/>
        <w:ind w:firstLine="420" w:firstLineChars="200"/>
        <w:jc w:val="left"/>
        <w:rPr>
          <w:rFonts w:hint="eastAsia" w:ascii="微软雅黑" w:hAnsi="Times New Roman" w:eastAsia="微软雅黑" w:cs="微软雅黑"/>
          <w:b w:val="0"/>
          <w:bCs/>
          <w:color w:val="auto"/>
          <w:sz w:val="21"/>
          <w:szCs w:val="21"/>
          <w:highlight w:val="none"/>
        </w:rPr>
      </w:pPr>
      <w:r>
        <w:rPr>
          <w:rFonts w:hint="eastAsia" w:ascii="微软雅黑" w:eastAsia="微软雅黑" w:cs="微软雅黑"/>
          <w:b/>
          <w:color w:val="auto"/>
          <w:sz w:val="21"/>
          <w:szCs w:val="21"/>
          <w:highlight w:val="none"/>
          <w:lang w:val="en-US" w:eastAsia="zh-CN"/>
        </w:rPr>
        <w:t>服务内容</w:t>
      </w:r>
      <w:r>
        <w:rPr>
          <w:rFonts w:hint="eastAsia" w:ascii="微软雅黑" w:hAnsi="Times New Roman" w:eastAsia="微软雅黑" w:cs="微软雅黑"/>
          <w:b/>
          <w:color w:val="auto"/>
          <w:sz w:val="21"/>
          <w:szCs w:val="21"/>
          <w:highlight w:val="none"/>
        </w:rPr>
        <w:t>增减：</w:t>
      </w:r>
      <w:r>
        <w:rPr>
          <w:rFonts w:hint="eastAsia" w:ascii="微软雅黑" w:hAnsi="Times New Roman" w:eastAsia="微软雅黑" w:cs="微软雅黑"/>
          <w:b w:val="0"/>
          <w:bCs/>
          <w:color w:val="auto"/>
          <w:sz w:val="21"/>
          <w:szCs w:val="21"/>
          <w:highlight w:val="none"/>
        </w:rPr>
        <w:t>当发生</w:t>
      </w:r>
      <w:r>
        <w:rPr>
          <w:rFonts w:hint="eastAsia" w:ascii="微软雅黑" w:hAnsi="Times New Roman" w:eastAsia="微软雅黑" w:cs="微软雅黑"/>
          <w:b w:val="0"/>
          <w:bCs/>
          <w:color w:val="auto"/>
          <w:sz w:val="21"/>
          <w:szCs w:val="21"/>
          <w:highlight w:val="none"/>
          <w:lang w:val="en-US" w:eastAsia="zh-CN"/>
        </w:rPr>
        <w:t>服务内容</w:t>
      </w:r>
      <w:r>
        <w:rPr>
          <w:rFonts w:hint="eastAsia" w:ascii="微软雅黑" w:hAnsi="Times New Roman" w:eastAsia="微软雅黑" w:cs="微软雅黑"/>
          <w:b w:val="0"/>
          <w:bCs/>
          <w:color w:val="auto"/>
          <w:sz w:val="21"/>
          <w:szCs w:val="21"/>
          <w:highlight w:val="none"/>
        </w:rPr>
        <w:t>增减时，由发包人（采购人）</w:t>
      </w:r>
      <w:r>
        <w:rPr>
          <w:rFonts w:hint="eastAsia" w:ascii="微软雅黑" w:hAnsi="Times New Roman" w:eastAsia="微软雅黑" w:cs="微软雅黑"/>
          <w:b w:val="0"/>
          <w:bCs/>
          <w:color w:val="auto"/>
          <w:sz w:val="21"/>
          <w:szCs w:val="21"/>
          <w:highlight w:val="none"/>
          <w:lang w:val="en-US" w:eastAsia="zh-CN"/>
        </w:rPr>
        <w:t>按有关规定确定</w:t>
      </w:r>
      <w:r>
        <w:rPr>
          <w:rFonts w:hint="eastAsia" w:ascii="微软雅黑" w:hAnsi="Times New Roman" w:eastAsia="微软雅黑" w:cs="微软雅黑"/>
          <w:b w:val="0"/>
          <w:bCs/>
          <w:color w:val="auto"/>
          <w:sz w:val="21"/>
          <w:szCs w:val="21"/>
          <w:highlight w:val="none"/>
        </w:rPr>
        <w:t>。</w:t>
      </w:r>
    </w:p>
    <w:p>
      <w:pPr>
        <w:keepNext w:val="0"/>
        <w:keepLines w:val="0"/>
        <w:pageBreakBefore w:val="0"/>
        <w:kinsoku/>
        <w:wordWrap/>
        <w:overflowPunct/>
        <w:topLinePunct w:val="0"/>
        <w:bidi w:val="0"/>
        <w:adjustRightInd w:val="0"/>
        <w:snapToGrid w:val="0"/>
        <w:spacing w:line="600" w:lineRule="exact"/>
        <w:ind w:firstLine="420" w:firstLineChars="200"/>
        <w:rPr>
          <w:rFonts w:hint="eastAsia" w:ascii="微软雅黑" w:eastAsia="微软雅黑"/>
          <w:b/>
          <w:color w:val="auto"/>
          <w:sz w:val="21"/>
          <w:szCs w:val="21"/>
          <w:highlight w:val="none"/>
        </w:rPr>
      </w:pPr>
      <w:r>
        <w:rPr>
          <w:rFonts w:hint="eastAsia" w:ascii="微软雅黑" w:eastAsia="微软雅黑"/>
          <w:b/>
          <w:color w:val="auto"/>
          <w:sz w:val="21"/>
          <w:szCs w:val="21"/>
          <w:highlight w:val="none"/>
          <w:lang w:val="en-US" w:eastAsia="zh-CN"/>
        </w:rPr>
        <w:t>6</w:t>
      </w:r>
      <w:r>
        <w:rPr>
          <w:rFonts w:hint="eastAsia" w:ascii="微软雅黑" w:eastAsia="微软雅黑"/>
          <w:b/>
          <w:color w:val="auto"/>
          <w:sz w:val="21"/>
          <w:szCs w:val="21"/>
          <w:highlight w:val="none"/>
        </w:rPr>
        <w:t>.解决合同纠纷方式</w:t>
      </w:r>
    </w:p>
    <w:p>
      <w:pPr>
        <w:keepNext w:val="0"/>
        <w:keepLines w:val="0"/>
        <w:pageBreakBefore w:val="0"/>
        <w:kinsoku/>
        <w:wordWrap/>
        <w:overflowPunct/>
        <w:topLinePunct w:val="0"/>
        <w:bidi w:val="0"/>
        <w:adjustRightInd w:val="0"/>
        <w:snapToGrid w:val="0"/>
        <w:spacing w:line="600" w:lineRule="exact"/>
        <w:ind w:firstLine="420" w:firstLineChars="200"/>
        <w:rPr>
          <w:rFonts w:hint="eastAsia" w:ascii="微软雅黑" w:eastAsia="微软雅黑"/>
          <w:color w:val="auto"/>
          <w:sz w:val="21"/>
          <w:szCs w:val="21"/>
          <w:highlight w:val="none"/>
        </w:rPr>
      </w:pPr>
      <w:r>
        <w:rPr>
          <w:rFonts w:hint="eastAsia" w:ascii="微软雅黑" w:eastAsia="微软雅黑"/>
          <w:color w:val="auto"/>
          <w:sz w:val="21"/>
          <w:szCs w:val="21"/>
          <w:highlight w:val="none"/>
        </w:rPr>
        <w:t>首先通过双方协商解决，协商解决不成，则通过以下途径之一解决纠纷：</w:t>
      </w:r>
    </w:p>
    <w:p>
      <w:pPr>
        <w:keepNext w:val="0"/>
        <w:keepLines w:val="0"/>
        <w:pageBreakBefore w:val="0"/>
        <w:kinsoku/>
        <w:wordWrap/>
        <w:overflowPunct/>
        <w:topLinePunct w:val="0"/>
        <w:bidi w:val="0"/>
        <w:adjustRightInd w:val="0"/>
        <w:snapToGrid w:val="0"/>
        <w:spacing w:line="600" w:lineRule="exact"/>
        <w:ind w:firstLine="840" w:firstLineChars="400"/>
        <w:rPr>
          <w:rFonts w:hint="eastAsia" w:ascii="微软雅黑" w:eastAsia="微软雅黑"/>
          <w:color w:val="auto"/>
          <w:sz w:val="21"/>
          <w:szCs w:val="21"/>
          <w:highlight w:val="none"/>
        </w:rPr>
      </w:pPr>
      <w:r>
        <w:rPr>
          <w:rFonts w:hint="eastAsia" w:ascii="微软雅黑" w:eastAsia="微软雅黑"/>
          <w:color w:val="auto"/>
          <w:sz w:val="21"/>
          <w:szCs w:val="21"/>
          <w:highlight w:val="none"/>
          <w:lang w:eastAsia="zh-CN"/>
        </w:rPr>
        <w:t>□</w:t>
      </w:r>
      <w:r>
        <w:rPr>
          <w:rFonts w:hint="eastAsia" w:ascii="微软雅黑" w:eastAsia="微软雅黑"/>
          <w:color w:val="auto"/>
          <w:sz w:val="21"/>
          <w:szCs w:val="21"/>
          <w:highlight w:val="none"/>
        </w:rPr>
        <w:t xml:space="preserve"> 提请仲裁       </w:t>
      </w:r>
      <w:r>
        <w:rPr>
          <w:rFonts w:hint="eastAsia" w:ascii="微软雅黑" w:eastAsia="微软雅黑"/>
          <w:color w:val="auto"/>
          <w:sz w:val="21"/>
          <w:szCs w:val="21"/>
          <w:highlight w:val="none"/>
          <w:lang w:eastAsia="zh-CN"/>
        </w:rPr>
        <w:t>☑</w:t>
      </w:r>
      <w:r>
        <w:rPr>
          <w:rFonts w:hint="eastAsia" w:ascii="微软雅黑" w:eastAsia="微软雅黑"/>
          <w:color w:val="auto"/>
          <w:sz w:val="21"/>
          <w:szCs w:val="21"/>
          <w:highlight w:val="none"/>
        </w:rPr>
        <w:t>向人民法院提起诉讼</w:t>
      </w:r>
    </w:p>
    <w:p>
      <w:pPr>
        <w:keepNext w:val="0"/>
        <w:keepLines w:val="0"/>
        <w:pageBreakBefore w:val="0"/>
        <w:kinsoku/>
        <w:wordWrap/>
        <w:overflowPunct/>
        <w:topLinePunct w:val="0"/>
        <w:bidi w:val="0"/>
        <w:adjustRightInd w:val="0"/>
        <w:snapToGrid w:val="0"/>
        <w:spacing w:line="600" w:lineRule="exact"/>
        <w:ind w:firstLine="420" w:firstLineChars="200"/>
        <w:rPr>
          <w:rFonts w:hint="eastAsia" w:ascii="微软雅黑" w:eastAsia="微软雅黑"/>
          <w:b/>
          <w:color w:val="auto"/>
          <w:sz w:val="21"/>
          <w:szCs w:val="21"/>
          <w:highlight w:val="none"/>
        </w:rPr>
      </w:pPr>
      <w:r>
        <w:rPr>
          <w:rFonts w:hint="eastAsia" w:ascii="微软雅黑" w:eastAsia="微软雅黑"/>
          <w:b/>
          <w:color w:val="auto"/>
          <w:sz w:val="21"/>
          <w:szCs w:val="21"/>
          <w:highlight w:val="none"/>
          <w:lang w:val="en-US" w:eastAsia="zh-CN"/>
        </w:rPr>
        <w:t>7</w:t>
      </w:r>
      <w:r>
        <w:rPr>
          <w:rFonts w:hint="eastAsia" w:ascii="微软雅黑" w:eastAsia="微软雅黑"/>
          <w:b/>
          <w:color w:val="auto"/>
          <w:sz w:val="21"/>
          <w:szCs w:val="21"/>
          <w:highlight w:val="none"/>
        </w:rPr>
        <w:t>.组成合同的文件</w:t>
      </w:r>
    </w:p>
    <w:p>
      <w:pPr>
        <w:keepNext w:val="0"/>
        <w:keepLines w:val="0"/>
        <w:pageBreakBefore w:val="0"/>
        <w:kinsoku/>
        <w:wordWrap/>
        <w:overflowPunct/>
        <w:topLinePunct w:val="0"/>
        <w:bidi w:val="0"/>
        <w:adjustRightInd w:val="0"/>
        <w:snapToGrid w:val="0"/>
        <w:spacing w:line="600" w:lineRule="exact"/>
        <w:ind w:firstLine="420" w:firstLineChars="200"/>
        <w:rPr>
          <w:rFonts w:hint="eastAsia" w:ascii="微软雅黑" w:eastAsia="微软雅黑"/>
          <w:color w:val="auto"/>
          <w:sz w:val="21"/>
          <w:szCs w:val="21"/>
          <w:highlight w:val="none"/>
        </w:rPr>
      </w:pPr>
      <w:r>
        <w:rPr>
          <w:rFonts w:hint="eastAsia" w:ascii="微软雅黑" w:eastAsia="微软雅黑"/>
          <w:color w:val="auto"/>
          <w:sz w:val="21"/>
          <w:szCs w:val="21"/>
          <w:highlight w:val="none"/>
        </w:rPr>
        <w:t>本协议书与下列文件一起构成合同文件，如下述文件之间有任何抵触、矛盾或歧义，应按以下顺序解释：</w:t>
      </w:r>
    </w:p>
    <w:p>
      <w:pPr>
        <w:keepNext w:val="0"/>
        <w:keepLines w:val="0"/>
        <w:pageBreakBefore w:val="0"/>
        <w:kinsoku/>
        <w:wordWrap/>
        <w:overflowPunct/>
        <w:topLinePunct w:val="0"/>
        <w:bidi w:val="0"/>
        <w:adjustRightInd w:val="0"/>
        <w:snapToGrid w:val="0"/>
        <w:spacing w:line="600" w:lineRule="exact"/>
        <w:ind w:firstLine="420" w:firstLineChars="200"/>
        <w:rPr>
          <w:rFonts w:hint="eastAsia" w:ascii="微软雅黑" w:eastAsia="微软雅黑"/>
          <w:color w:val="auto"/>
          <w:sz w:val="21"/>
          <w:szCs w:val="21"/>
          <w:highlight w:val="none"/>
        </w:rPr>
      </w:pPr>
      <w:r>
        <w:rPr>
          <w:rFonts w:hint="eastAsia" w:ascii="微软雅黑" w:eastAsia="微软雅黑"/>
          <w:color w:val="auto"/>
          <w:sz w:val="21"/>
          <w:szCs w:val="21"/>
          <w:highlight w:val="none"/>
        </w:rPr>
        <w:t>（1）在采购或合同履行过程中乙方作出的承诺以及双方协商达成的变更或补充协议</w:t>
      </w:r>
    </w:p>
    <w:p>
      <w:pPr>
        <w:keepNext w:val="0"/>
        <w:keepLines w:val="0"/>
        <w:pageBreakBefore w:val="0"/>
        <w:kinsoku/>
        <w:wordWrap/>
        <w:overflowPunct/>
        <w:topLinePunct w:val="0"/>
        <w:bidi w:val="0"/>
        <w:adjustRightInd w:val="0"/>
        <w:snapToGrid w:val="0"/>
        <w:spacing w:line="600" w:lineRule="exact"/>
        <w:ind w:firstLine="420" w:firstLineChars="200"/>
        <w:rPr>
          <w:rFonts w:hint="eastAsia" w:ascii="微软雅黑" w:eastAsia="微软雅黑"/>
          <w:color w:val="auto"/>
          <w:sz w:val="21"/>
          <w:szCs w:val="21"/>
          <w:highlight w:val="none"/>
        </w:rPr>
      </w:pPr>
      <w:r>
        <w:rPr>
          <w:rFonts w:hint="eastAsia" w:ascii="微软雅黑" w:eastAsia="微软雅黑"/>
          <w:color w:val="auto"/>
          <w:sz w:val="21"/>
          <w:szCs w:val="21"/>
          <w:highlight w:val="none"/>
        </w:rPr>
        <w:t>（2）成交通知书</w:t>
      </w:r>
    </w:p>
    <w:p>
      <w:pPr>
        <w:keepNext w:val="0"/>
        <w:keepLines w:val="0"/>
        <w:pageBreakBefore w:val="0"/>
        <w:kinsoku/>
        <w:wordWrap/>
        <w:overflowPunct/>
        <w:topLinePunct w:val="0"/>
        <w:bidi w:val="0"/>
        <w:adjustRightInd w:val="0"/>
        <w:snapToGrid w:val="0"/>
        <w:spacing w:line="600" w:lineRule="exact"/>
        <w:ind w:firstLine="420" w:firstLineChars="200"/>
        <w:rPr>
          <w:rFonts w:hint="eastAsia" w:ascii="微软雅黑" w:eastAsia="微软雅黑"/>
          <w:color w:val="auto"/>
          <w:sz w:val="21"/>
          <w:szCs w:val="21"/>
          <w:highlight w:val="none"/>
        </w:rPr>
      </w:pPr>
      <w:r>
        <w:rPr>
          <w:rFonts w:hint="eastAsia" w:ascii="微软雅黑" w:eastAsia="微软雅黑"/>
          <w:color w:val="auto"/>
          <w:sz w:val="21"/>
          <w:szCs w:val="21"/>
          <w:highlight w:val="none"/>
        </w:rPr>
        <w:t>（3）响应文件</w:t>
      </w:r>
    </w:p>
    <w:p>
      <w:pPr>
        <w:keepNext w:val="0"/>
        <w:keepLines w:val="0"/>
        <w:pageBreakBefore w:val="0"/>
        <w:kinsoku/>
        <w:wordWrap/>
        <w:overflowPunct/>
        <w:topLinePunct w:val="0"/>
        <w:bidi w:val="0"/>
        <w:adjustRightInd w:val="0"/>
        <w:snapToGrid w:val="0"/>
        <w:spacing w:line="600" w:lineRule="exact"/>
        <w:ind w:firstLine="420" w:firstLineChars="200"/>
        <w:rPr>
          <w:rFonts w:hint="eastAsia" w:ascii="微软雅黑" w:eastAsia="微软雅黑"/>
          <w:color w:val="auto"/>
          <w:sz w:val="21"/>
          <w:szCs w:val="21"/>
          <w:highlight w:val="none"/>
        </w:rPr>
      </w:pPr>
      <w:r>
        <w:rPr>
          <w:rFonts w:hint="eastAsia" w:ascii="微软雅黑" w:eastAsia="微软雅黑"/>
          <w:color w:val="auto"/>
          <w:sz w:val="21"/>
          <w:szCs w:val="21"/>
          <w:highlight w:val="none"/>
        </w:rPr>
        <w:t>（4）政府采购合同格式条款及其附件</w:t>
      </w:r>
    </w:p>
    <w:p>
      <w:pPr>
        <w:keepNext w:val="0"/>
        <w:keepLines w:val="0"/>
        <w:pageBreakBefore w:val="0"/>
        <w:kinsoku/>
        <w:wordWrap/>
        <w:overflowPunct/>
        <w:topLinePunct w:val="0"/>
        <w:bidi w:val="0"/>
        <w:adjustRightInd w:val="0"/>
        <w:snapToGrid w:val="0"/>
        <w:spacing w:line="600" w:lineRule="exact"/>
        <w:ind w:firstLine="420" w:firstLineChars="200"/>
        <w:rPr>
          <w:rFonts w:hint="eastAsia" w:ascii="微软雅黑" w:eastAsia="微软雅黑"/>
          <w:color w:val="auto"/>
          <w:sz w:val="21"/>
          <w:szCs w:val="21"/>
          <w:highlight w:val="none"/>
        </w:rPr>
      </w:pPr>
      <w:r>
        <w:rPr>
          <w:rFonts w:hint="eastAsia" w:ascii="微软雅黑" w:eastAsia="微软雅黑"/>
          <w:color w:val="auto"/>
          <w:sz w:val="21"/>
          <w:szCs w:val="21"/>
          <w:highlight w:val="none"/>
        </w:rPr>
        <w:t>（5）专用合同条款</w:t>
      </w:r>
    </w:p>
    <w:p>
      <w:pPr>
        <w:keepNext w:val="0"/>
        <w:keepLines w:val="0"/>
        <w:pageBreakBefore w:val="0"/>
        <w:kinsoku/>
        <w:wordWrap/>
        <w:overflowPunct/>
        <w:topLinePunct w:val="0"/>
        <w:bidi w:val="0"/>
        <w:adjustRightInd w:val="0"/>
        <w:snapToGrid w:val="0"/>
        <w:spacing w:line="600" w:lineRule="exact"/>
        <w:ind w:firstLine="420" w:firstLineChars="200"/>
        <w:rPr>
          <w:rFonts w:hint="eastAsia" w:ascii="微软雅黑" w:eastAsia="微软雅黑"/>
          <w:color w:val="auto"/>
          <w:sz w:val="21"/>
          <w:szCs w:val="21"/>
          <w:highlight w:val="none"/>
        </w:rPr>
      </w:pPr>
      <w:r>
        <w:rPr>
          <w:rFonts w:hint="eastAsia" w:ascii="微软雅黑" w:eastAsia="微软雅黑"/>
          <w:color w:val="auto"/>
          <w:sz w:val="21"/>
          <w:szCs w:val="21"/>
          <w:highlight w:val="none"/>
        </w:rPr>
        <w:t>（6）通用合同条款（如果有）</w:t>
      </w:r>
    </w:p>
    <w:p>
      <w:pPr>
        <w:keepNext w:val="0"/>
        <w:keepLines w:val="0"/>
        <w:pageBreakBefore w:val="0"/>
        <w:kinsoku/>
        <w:wordWrap/>
        <w:overflowPunct/>
        <w:topLinePunct w:val="0"/>
        <w:bidi w:val="0"/>
        <w:adjustRightInd w:val="0"/>
        <w:snapToGrid w:val="0"/>
        <w:spacing w:line="600" w:lineRule="exact"/>
        <w:ind w:firstLine="420" w:firstLineChars="200"/>
        <w:rPr>
          <w:rFonts w:hint="eastAsia" w:ascii="微软雅黑" w:eastAsia="微软雅黑"/>
          <w:color w:val="auto"/>
          <w:sz w:val="21"/>
          <w:szCs w:val="21"/>
          <w:highlight w:val="none"/>
        </w:rPr>
      </w:pPr>
      <w:r>
        <w:rPr>
          <w:rFonts w:hint="eastAsia" w:ascii="微软雅黑" w:eastAsia="微软雅黑"/>
          <w:color w:val="auto"/>
          <w:sz w:val="21"/>
          <w:szCs w:val="21"/>
          <w:highlight w:val="none"/>
        </w:rPr>
        <w:t>（7）标准、规范及有关技术文件，图纸，已标价工程量清单或预算书（如果有）</w:t>
      </w:r>
    </w:p>
    <w:p>
      <w:pPr>
        <w:keepNext w:val="0"/>
        <w:keepLines w:val="0"/>
        <w:pageBreakBefore w:val="0"/>
        <w:kinsoku/>
        <w:wordWrap/>
        <w:overflowPunct/>
        <w:topLinePunct w:val="0"/>
        <w:bidi w:val="0"/>
        <w:adjustRightInd w:val="0"/>
        <w:snapToGrid w:val="0"/>
        <w:spacing w:line="600" w:lineRule="exact"/>
        <w:ind w:firstLine="420" w:firstLineChars="200"/>
        <w:rPr>
          <w:rFonts w:hint="eastAsia" w:ascii="微软雅黑" w:eastAsia="微软雅黑"/>
          <w:color w:val="auto"/>
          <w:sz w:val="21"/>
          <w:szCs w:val="21"/>
          <w:highlight w:val="none"/>
        </w:rPr>
      </w:pPr>
      <w:r>
        <w:rPr>
          <w:rFonts w:hint="eastAsia" w:ascii="微软雅黑" w:eastAsia="微软雅黑"/>
          <w:color w:val="auto"/>
          <w:sz w:val="21"/>
          <w:szCs w:val="21"/>
          <w:highlight w:val="none"/>
        </w:rPr>
        <w:t>（8）其他合同文件。</w:t>
      </w:r>
    </w:p>
    <w:p>
      <w:pPr>
        <w:keepNext w:val="0"/>
        <w:keepLines w:val="0"/>
        <w:pageBreakBefore w:val="0"/>
        <w:kinsoku/>
        <w:wordWrap/>
        <w:overflowPunct/>
        <w:topLinePunct w:val="0"/>
        <w:bidi w:val="0"/>
        <w:adjustRightInd w:val="0"/>
        <w:snapToGrid w:val="0"/>
        <w:spacing w:line="600" w:lineRule="exact"/>
        <w:ind w:firstLine="420" w:firstLineChars="200"/>
        <w:rPr>
          <w:rFonts w:hint="eastAsia" w:ascii="微软雅黑" w:eastAsia="微软雅黑"/>
          <w:color w:val="auto"/>
          <w:sz w:val="21"/>
          <w:szCs w:val="21"/>
          <w:highlight w:val="none"/>
        </w:rPr>
      </w:pPr>
      <w:r>
        <w:rPr>
          <w:rFonts w:hint="eastAsia" w:ascii="微软雅黑" w:eastAsia="微软雅黑"/>
          <w:color w:val="auto"/>
          <w:sz w:val="21"/>
          <w:szCs w:val="21"/>
          <w:highlight w:val="none"/>
        </w:rPr>
        <w:t>在合同订立及履行过程中形成的与合同有关的文件均构成合同文件组成部分。</w:t>
      </w:r>
    </w:p>
    <w:p>
      <w:pPr>
        <w:keepNext w:val="0"/>
        <w:keepLines w:val="0"/>
        <w:pageBreakBefore w:val="0"/>
        <w:kinsoku/>
        <w:wordWrap/>
        <w:overflowPunct/>
        <w:topLinePunct w:val="0"/>
        <w:bidi w:val="0"/>
        <w:adjustRightInd w:val="0"/>
        <w:snapToGrid w:val="0"/>
        <w:spacing w:line="600" w:lineRule="exact"/>
        <w:ind w:firstLine="420" w:firstLineChars="200"/>
        <w:rPr>
          <w:rFonts w:hint="eastAsia" w:ascii="微软雅黑" w:eastAsia="微软雅黑"/>
          <w:color w:val="auto"/>
          <w:sz w:val="21"/>
          <w:szCs w:val="21"/>
          <w:highlight w:val="none"/>
        </w:rPr>
      </w:pPr>
      <w:r>
        <w:rPr>
          <w:rFonts w:hint="eastAsia" w:ascii="微软雅黑" w:eastAsia="微软雅黑"/>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pPr>
        <w:keepNext w:val="0"/>
        <w:keepLines w:val="0"/>
        <w:pageBreakBefore w:val="0"/>
        <w:kinsoku/>
        <w:wordWrap/>
        <w:overflowPunct/>
        <w:topLinePunct w:val="0"/>
        <w:bidi w:val="0"/>
        <w:adjustRightInd w:val="0"/>
        <w:snapToGrid w:val="0"/>
        <w:spacing w:line="600" w:lineRule="exact"/>
        <w:ind w:firstLine="309" w:firstLineChars="147"/>
        <w:rPr>
          <w:rFonts w:hint="eastAsia" w:ascii="微软雅黑" w:eastAsia="微软雅黑"/>
          <w:b/>
          <w:color w:val="auto"/>
          <w:sz w:val="21"/>
          <w:szCs w:val="21"/>
          <w:highlight w:val="none"/>
        </w:rPr>
      </w:pPr>
      <w:r>
        <w:rPr>
          <w:rFonts w:hint="eastAsia" w:ascii="微软雅黑" w:eastAsia="微软雅黑"/>
          <w:b/>
          <w:color w:val="auto"/>
          <w:sz w:val="21"/>
          <w:szCs w:val="21"/>
          <w:highlight w:val="none"/>
        </w:rPr>
        <w:t>9.合同生效</w:t>
      </w:r>
    </w:p>
    <w:p>
      <w:pPr>
        <w:keepNext w:val="0"/>
        <w:keepLines w:val="0"/>
        <w:pageBreakBefore w:val="0"/>
        <w:kinsoku/>
        <w:wordWrap/>
        <w:overflowPunct/>
        <w:topLinePunct w:val="0"/>
        <w:bidi w:val="0"/>
        <w:adjustRightInd w:val="0"/>
        <w:snapToGrid w:val="0"/>
        <w:spacing w:line="600" w:lineRule="exact"/>
        <w:ind w:firstLine="420" w:firstLineChars="200"/>
        <w:rPr>
          <w:rFonts w:hint="eastAsia" w:ascii="微软雅黑" w:eastAsia="微软雅黑"/>
          <w:color w:val="auto"/>
          <w:sz w:val="21"/>
          <w:szCs w:val="21"/>
          <w:highlight w:val="none"/>
        </w:rPr>
      </w:pPr>
      <w:r>
        <w:rPr>
          <w:rFonts w:hint="eastAsia" w:ascii="微软雅黑" w:eastAsia="微软雅黑"/>
          <w:color w:val="auto"/>
          <w:sz w:val="21"/>
          <w:szCs w:val="21"/>
          <w:highlight w:val="none"/>
        </w:rPr>
        <w:t>本合同自</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u w:val="single"/>
          <w:lang w:val="en-US" w:eastAsia="zh-CN"/>
        </w:rPr>
        <w:t>2023年   月    日</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rPr>
        <w:t>生效。</w:t>
      </w:r>
    </w:p>
    <w:p>
      <w:pPr>
        <w:keepNext w:val="0"/>
        <w:keepLines w:val="0"/>
        <w:pageBreakBefore w:val="0"/>
        <w:kinsoku/>
        <w:wordWrap/>
        <w:overflowPunct/>
        <w:topLinePunct w:val="0"/>
        <w:bidi w:val="0"/>
        <w:adjustRightInd w:val="0"/>
        <w:snapToGrid w:val="0"/>
        <w:spacing w:line="600" w:lineRule="exact"/>
        <w:ind w:firstLine="309" w:firstLineChars="147"/>
        <w:rPr>
          <w:rFonts w:hint="eastAsia" w:ascii="微软雅黑" w:eastAsia="微软雅黑"/>
          <w:b/>
          <w:color w:val="auto"/>
          <w:sz w:val="21"/>
          <w:szCs w:val="21"/>
          <w:highlight w:val="none"/>
        </w:rPr>
      </w:pPr>
      <w:r>
        <w:rPr>
          <w:rFonts w:hint="eastAsia" w:ascii="微软雅黑" w:eastAsia="微软雅黑"/>
          <w:b/>
          <w:color w:val="auto"/>
          <w:sz w:val="21"/>
          <w:szCs w:val="21"/>
          <w:highlight w:val="none"/>
        </w:rPr>
        <w:t>10.合同份数</w:t>
      </w:r>
    </w:p>
    <w:p>
      <w:pPr>
        <w:pStyle w:val="50"/>
        <w:keepNext w:val="0"/>
        <w:keepLines w:val="0"/>
        <w:pageBreakBefore w:val="0"/>
        <w:kinsoku/>
        <w:wordWrap/>
        <w:overflowPunct/>
        <w:topLinePunct w:val="0"/>
        <w:bidi w:val="0"/>
        <w:spacing w:line="600" w:lineRule="exact"/>
        <w:rPr>
          <w:rFonts w:hint="eastAsia"/>
          <w:color w:val="auto"/>
          <w:sz w:val="21"/>
          <w:szCs w:val="21"/>
          <w:highlight w:val="none"/>
        </w:rPr>
      </w:pPr>
      <w:r>
        <w:rPr>
          <w:rFonts w:hint="eastAsia" w:ascii="微软雅黑" w:eastAsia="微软雅黑"/>
          <w:color w:val="auto"/>
          <w:sz w:val="21"/>
          <w:szCs w:val="21"/>
          <w:highlight w:val="none"/>
        </w:rPr>
        <w:t>本协议自甲乙双方签字、盖章后生效。本协议一式捌份，甲方1：娄底市万宝新区开发投资集团有限公司执</w:t>
      </w:r>
      <w:r>
        <w:rPr>
          <w:rFonts w:hint="eastAsia" w:ascii="微软雅黑" w:eastAsia="微软雅黑"/>
          <w:color w:val="auto"/>
          <w:sz w:val="21"/>
          <w:szCs w:val="21"/>
          <w:highlight w:val="none"/>
          <w:lang w:eastAsia="zh-CN"/>
        </w:rPr>
        <w:t>肆</w:t>
      </w:r>
      <w:r>
        <w:rPr>
          <w:rFonts w:hint="eastAsia" w:ascii="微软雅黑" w:eastAsia="微软雅黑"/>
          <w:color w:val="auto"/>
          <w:sz w:val="21"/>
          <w:szCs w:val="21"/>
          <w:highlight w:val="none"/>
        </w:rPr>
        <w:t>份，甲方2：湖南娄底路桥建设有限责任公司执</w:t>
      </w:r>
      <w:r>
        <w:rPr>
          <w:rFonts w:hint="eastAsia" w:ascii="微软雅黑" w:eastAsia="微软雅黑"/>
          <w:color w:val="auto"/>
          <w:sz w:val="21"/>
          <w:szCs w:val="21"/>
          <w:highlight w:val="none"/>
          <w:lang w:eastAsia="zh-CN"/>
        </w:rPr>
        <w:t>贰</w:t>
      </w:r>
      <w:r>
        <w:rPr>
          <w:rFonts w:hint="eastAsia" w:ascii="微软雅黑" w:eastAsia="微软雅黑"/>
          <w:color w:val="auto"/>
          <w:sz w:val="21"/>
          <w:szCs w:val="21"/>
          <w:highlight w:val="none"/>
        </w:rPr>
        <w:t>份，乙方执贰份，均具有法律效力。</w:t>
      </w:r>
    </w:p>
    <w:p>
      <w:pPr>
        <w:keepNext w:val="0"/>
        <w:keepLines w:val="0"/>
        <w:pageBreakBefore w:val="0"/>
        <w:kinsoku/>
        <w:wordWrap/>
        <w:overflowPunct/>
        <w:topLinePunct w:val="0"/>
        <w:bidi w:val="0"/>
        <w:adjustRightInd w:val="0"/>
        <w:snapToGrid w:val="0"/>
        <w:spacing w:line="600" w:lineRule="exact"/>
        <w:rPr>
          <w:rFonts w:hint="eastAsia" w:ascii="微软雅黑" w:eastAsia="微软雅黑"/>
          <w:color w:val="auto"/>
          <w:sz w:val="21"/>
          <w:szCs w:val="21"/>
          <w:highlight w:val="none"/>
        </w:rPr>
      </w:pPr>
      <w:r>
        <w:rPr>
          <w:rFonts w:hint="eastAsia" w:ascii="微软雅黑" w:eastAsia="微软雅黑"/>
          <w:color w:val="auto"/>
          <w:sz w:val="21"/>
          <w:szCs w:val="21"/>
          <w:highlight w:val="none"/>
        </w:rPr>
        <w:t>合同订立时间：</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u w:val="single"/>
          <w:lang w:val="en-US" w:eastAsia="zh-CN"/>
        </w:rPr>
        <w:t>2023</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rPr>
        <w:t>年</w:t>
      </w:r>
      <w:r>
        <w:rPr>
          <w:rFonts w:hint="eastAsia" w:ascii="微软雅黑" w:eastAsia="微软雅黑"/>
          <w:color w:val="auto"/>
          <w:sz w:val="21"/>
          <w:szCs w:val="21"/>
          <w:highlight w:val="none"/>
          <w:u w:val="single"/>
          <w:lang w:val="en-US" w:eastAsia="zh-CN"/>
        </w:rPr>
        <w:t xml:space="preserve">   </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rPr>
        <w:t>月</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u w:val="single"/>
          <w:lang w:val="en-US" w:eastAsia="zh-CN"/>
        </w:rPr>
        <w:t xml:space="preserve">   </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rPr>
        <w:t>日</w:t>
      </w:r>
    </w:p>
    <w:p>
      <w:pPr>
        <w:keepNext w:val="0"/>
        <w:keepLines w:val="0"/>
        <w:pageBreakBefore w:val="0"/>
        <w:kinsoku/>
        <w:wordWrap/>
        <w:overflowPunct/>
        <w:topLinePunct w:val="0"/>
        <w:bidi w:val="0"/>
        <w:adjustRightInd w:val="0"/>
        <w:snapToGrid w:val="0"/>
        <w:spacing w:line="600" w:lineRule="exact"/>
        <w:rPr>
          <w:rFonts w:hint="eastAsia" w:ascii="微软雅黑" w:eastAsia="微软雅黑"/>
          <w:color w:val="auto"/>
          <w:sz w:val="21"/>
          <w:szCs w:val="21"/>
          <w:highlight w:val="none"/>
        </w:rPr>
      </w:pPr>
      <w:r>
        <w:rPr>
          <w:rFonts w:hint="eastAsia" w:ascii="微软雅黑" w:eastAsia="微软雅黑"/>
          <w:color w:val="auto"/>
          <w:sz w:val="21"/>
          <w:szCs w:val="21"/>
          <w:highlight w:val="none"/>
        </w:rPr>
        <w:t>合同订立地点：</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u w:val="single"/>
          <w:lang w:val="en-US" w:eastAsia="zh-CN"/>
        </w:rPr>
        <w:t xml:space="preserve">                     </w:t>
      </w:r>
      <w:r>
        <w:rPr>
          <w:rFonts w:hint="eastAsia" w:ascii="微软雅黑" w:eastAsia="微软雅黑"/>
          <w:color w:val="auto"/>
          <w:sz w:val="21"/>
          <w:szCs w:val="21"/>
          <w:highlight w:val="none"/>
          <w:u w:val="single"/>
        </w:rPr>
        <w:t xml:space="preserve">  </w:t>
      </w:r>
    </w:p>
    <w:p>
      <w:pPr>
        <w:keepNext w:val="0"/>
        <w:keepLines w:val="0"/>
        <w:pageBreakBefore w:val="0"/>
        <w:kinsoku/>
        <w:wordWrap/>
        <w:overflowPunct/>
        <w:topLinePunct w:val="0"/>
        <w:bidi w:val="0"/>
        <w:adjustRightInd w:val="0"/>
        <w:snapToGrid w:val="0"/>
        <w:spacing w:line="600" w:lineRule="exact"/>
        <w:ind w:firstLine="420" w:firstLineChars="200"/>
        <w:rPr>
          <w:rFonts w:hint="eastAsia" w:ascii="微软雅黑" w:eastAsia="微软雅黑"/>
          <w:color w:val="auto"/>
          <w:sz w:val="21"/>
          <w:szCs w:val="21"/>
          <w:highlight w:val="none"/>
        </w:rPr>
      </w:pPr>
      <w:r>
        <w:rPr>
          <w:rFonts w:hint="eastAsia" w:ascii="微软雅黑" w:eastAsia="微软雅黑"/>
          <w:color w:val="auto"/>
          <w:sz w:val="21"/>
          <w:szCs w:val="21"/>
          <w:highlight w:val="none"/>
        </w:rPr>
        <w:t xml:space="preserve">    </w:t>
      </w:r>
    </w:p>
    <w:p>
      <w:pPr>
        <w:keepNext w:val="0"/>
        <w:keepLines w:val="0"/>
        <w:pageBreakBefore w:val="0"/>
        <w:kinsoku/>
        <w:wordWrap/>
        <w:overflowPunct/>
        <w:topLinePunct w:val="0"/>
        <w:bidi w:val="0"/>
        <w:adjustRightInd w:val="0"/>
        <w:snapToGrid w:val="0"/>
        <w:spacing w:line="600" w:lineRule="exact"/>
        <w:rPr>
          <w:rFonts w:hint="eastAsia" w:ascii="微软雅黑" w:eastAsia="微软雅黑"/>
          <w:color w:val="auto"/>
          <w:sz w:val="21"/>
          <w:szCs w:val="21"/>
          <w:highlight w:val="none"/>
        </w:rPr>
      </w:pPr>
      <w:r>
        <w:rPr>
          <w:rFonts w:hint="eastAsia" w:ascii="微软雅黑" w:eastAsia="微软雅黑"/>
          <w:color w:val="auto"/>
          <w:sz w:val="21"/>
          <w:szCs w:val="21"/>
          <w:highlight w:val="none"/>
        </w:rPr>
        <w:t>甲      方：（公章）                     乙      方：（公章）</w:t>
      </w:r>
    </w:p>
    <w:p>
      <w:pPr>
        <w:keepNext w:val="0"/>
        <w:keepLines w:val="0"/>
        <w:pageBreakBefore w:val="0"/>
        <w:kinsoku/>
        <w:wordWrap/>
        <w:overflowPunct/>
        <w:topLinePunct w:val="0"/>
        <w:bidi w:val="0"/>
        <w:adjustRightInd w:val="0"/>
        <w:snapToGrid w:val="0"/>
        <w:spacing w:line="600" w:lineRule="exact"/>
        <w:rPr>
          <w:rFonts w:hint="eastAsia" w:ascii="微软雅黑" w:eastAsia="微软雅黑"/>
          <w:color w:val="auto"/>
          <w:sz w:val="21"/>
          <w:szCs w:val="21"/>
          <w:highlight w:val="none"/>
        </w:rPr>
      </w:pPr>
      <w:r>
        <w:rPr>
          <w:rFonts w:hint="eastAsia" w:ascii="微软雅黑" w:eastAsia="微软雅黑"/>
          <w:color w:val="auto"/>
          <w:sz w:val="21"/>
          <w:szCs w:val="21"/>
          <w:highlight w:val="none"/>
        </w:rPr>
        <w:t>法定代表人：</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rPr>
        <w:t xml:space="preserve">         法定代表人：</w:t>
      </w:r>
      <w:r>
        <w:rPr>
          <w:rFonts w:hint="eastAsia" w:ascii="微软雅黑" w:eastAsia="微软雅黑"/>
          <w:color w:val="auto"/>
          <w:sz w:val="21"/>
          <w:szCs w:val="21"/>
          <w:highlight w:val="none"/>
          <w:u w:val="single"/>
        </w:rPr>
        <w:t xml:space="preserve">                   </w:t>
      </w:r>
    </w:p>
    <w:p>
      <w:pPr>
        <w:keepNext w:val="0"/>
        <w:keepLines w:val="0"/>
        <w:pageBreakBefore w:val="0"/>
        <w:kinsoku/>
        <w:wordWrap/>
        <w:overflowPunct/>
        <w:topLinePunct w:val="0"/>
        <w:bidi w:val="0"/>
        <w:adjustRightInd w:val="0"/>
        <w:snapToGrid w:val="0"/>
        <w:spacing w:line="600" w:lineRule="exact"/>
        <w:rPr>
          <w:rFonts w:hint="eastAsia" w:ascii="微软雅黑" w:eastAsia="微软雅黑"/>
          <w:color w:val="auto"/>
          <w:sz w:val="21"/>
          <w:szCs w:val="21"/>
          <w:highlight w:val="none"/>
        </w:rPr>
      </w:pPr>
      <w:r>
        <w:rPr>
          <w:rFonts w:hint="eastAsia" w:ascii="微软雅黑" w:eastAsia="微软雅黑"/>
          <w:color w:val="auto"/>
          <w:sz w:val="21"/>
          <w:szCs w:val="21"/>
          <w:highlight w:val="none"/>
        </w:rPr>
        <w:t>委托代理人：</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rPr>
        <w:t xml:space="preserve">         委托代理人：</w:t>
      </w:r>
      <w:r>
        <w:rPr>
          <w:rFonts w:hint="eastAsia" w:ascii="微软雅黑" w:eastAsia="微软雅黑"/>
          <w:color w:val="auto"/>
          <w:sz w:val="21"/>
          <w:szCs w:val="21"/>
          <w:highlight w:val="none"/>
          <w:u w:val="single"/>
        </w:rPr>
        <w:t xml:space="preserve">                   </w:t>
      </w:r>
    </w:p>
    <w:p>
      <w:pPr>
        <w:keepNext w:val="0"/>
        <w:keepLines w:val="0"/>
        <w:pageBreakBefore w:val="0"/>
        <w:kinsoku/>
        <w:wordWrap/>
        <w:overflowPunct/>
        <w:topLinePunct w:val="0"/>
        <w:bidi w:val="0"/>
        <w:adjustRightInd w:val="0"/>
        <w:snapToGrid w:val="0"/>
        <w:spacing w:line="600" w:lineRule="exact"/>
        <w:rPr>
          <w:rFonts w:hint="eastAsia" w:ascii="微软雅黑" w:eastAsia="微软雅黑"/>
          <w:color w:val="auto"/>
          <w:sz w:val="21"/>
          <w:szCs w:val="21"/>
          <w:highlight w:val="none"/>
        </w:rPr>
      </w:pPr>
      <w:r>
        <w:rPr>
          <w:rFonts w:hint="eastAsia" w:ascii="微软雅黑" w:eastAsia="微软雅黑"/>
          <w:color w:val="auto"/>
          <w:sz w:val="21"/>
          <w:szCs w:val="21"/>
          <w:highlight w:val="none"/>
        </w:rPr>
        <w:t>电      话：</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rPr>
        <w:t xml:space="preserve">         电      话：</w:t>
      </w:r>
      <w:r>
        <w:rPr>
          <w:rFonts w:hint="eastAsia" w:ascii="微软雅黑" w:eastAsia="微软雅黑"/>
          <w:color w:val="auto"/>
          <w:sz w:val="21"/>
          <w:szCs w:val="21"/>
          <w:highlight w:val="none"/>
          <w:u w:val="single"/>
        </w:rPr>
        <w:t xml:space="preserve">                   </w:t>
      </w:r>
    </w:p>
    <w:p>
      <w:pPr>
        <w:keepNext w:val="0"/>
        <w:keepLines w:val="0"/>
        <w:pageBreakBefore w:val="0"/>
        <w:kinsoku/>
        <w:wordWrap/>
        <w:overflowPunct/>
        <w:topLinePunct w:val="0"/>
        <w:bidi w:val="0"/>
        <w:adjustRightInd w:val="0"/>
        <w:snapToGrid w:val="0"/>
        <w:spacing w:line="600" w:lineRule="exact"/>
        <w:rPr>
          <w:rFonts w:hint="eastAsia" w:ascii="微软雅黑" w:eastAsia="微软雅黑"/>
          <w:color w:val="auto"/>
          <w:sz w:val="21"/>
          <w:szCs w:val="21"/>
          <w:highlight w:val="none"/>
        </w:rPr>
      </w:pPr>
      <w:r>
        <w:rPr>
          <w:rFonts w:hint="eastAsia" w:ascii="微软雅黑" w:eastAsia="微软雅黑"/>
          <w:color w:val="auto"/>
          <w:sz w:val="21"/>
          <w:szCs w:val="21"/>
          <w:highlight w:val="none"/>
        </w:rPr>
        <w:t>传      真：</w:t>
      </w:r>
      <w:r>
        <w:rPr>
          <w:rFonts w:hint="eastAsia" w:ascii="微软雅黑" w:eastAsia="微软雅黑"/>
          <w:color w:val="auto"/>
          <w:sz w:val="21"/>
          <w:szCs w:val="21"/>
          <w:highlight w:val="none"/>
          <w:u w:val="single"/>
        </w:rPr>
        <w:t xml:space="preserve">                   </w:t>
      </w:r>
      <w:r>
        <w:rPr>
          <w:rFonts w:hint="eastAsia" w:ascii="微软雅黑" w:eastAsia="微软雅黑"/>
          <w:color w:val="auto"/>
          <w:sz w:val="21"/>
          <w:szCs w:val="21"/>
          <w:highlight w:val="none"/>
        </w:rPr>
        <w:t xml:space="preserve">         传      真：</w:t>
      </w:r>
      <w:r>
        <w:rPr>
          <w:rFonts w:hint="eastAsia" w:ascii="微软雅黑" w:eastAsia="微软雅黑"/>
          <w:color w:val="auto"/>
          <w:sz w:val="21"/>
          <w:szCs w:val="21"/>
          <w:highlight w:val="none"/>
          <w:u w:val="single"/>
        </w:rPr>
        <w:t xml:space="preserve">                   </w:t>
      </w:r>
    </w:p>
    <w:p>
      <w:pPr>
        <w:keepNext w:val="0"/>
        <w:keepLines w:val="0"/>
        <w:pageBreakBefore w:val="0"/>
        <w:kinsoku/>
        <w:wordWrap/>
        <w:overflowPunct/>
        <w:topLinePunct w:val="0"/>
        <w:bidi w:val="0"/>
        <w:adjustRightInd w:val="0"/>
        <w:snapToGrid w:val="0"/>
        <w:spacing w:line="600" w:lineRule="exact"/>
        <w:ind w:firstLine="420" w:firstLineChars="200"/>
        <w:rPr>
          <w:rFonts w:hint="eastAsia" w:ascii="微软雅黑" w:eastAsia="微软雅黑"/>
          <w:color w:val="auto"/>
          <w:sz w:val="21"/>
          <w:szCs w:val="21"/>
          <w:highlight w:val="none"/>
        </w:rPr>
      </w:pPr>
      <w:r>
        <w:rPr>
          <w:rFonts w:hint="eastAsia" w:ascii="微软雅黑" w:eastAsia="微软雅黑"/>
          <w:color w:val="auto"/>
          <w:sz w:val="21"/>
          <w:szCs w:val="21"/>
          <w:highlight w:val="none"/>
        </w:rPr>
        <w:t xml:space="preserve">                                    开 户 银 行：</w:t>
      </w:r>
      <w:r>
        <w:rPr>
          <w:rFonts w:hint="eastAsia" w:ascii="微软雅黑" w:eastAsia="微软雅黑"/>
          <w:color w:val="auto"/>
          <w:sz w:val="21"/>
          <w:szCs w:val="21"/>
          <w:highlight w:val="none"/>
          <w:u w:val="single"/>
        </w:rPr>
        <w:t xml:space="preserve">                   </w:t>
      </w:r>
    </w:p>
    <w:p>
      <w:pPr>
        <w:keepNext w:val="0"/>
        <w:keepLines w:val="0"/>
        <w:pageBreakBefore w:val="0"/>
        <w:kinsoku/>
        <w:wordWrap/>
        <w:overflowPunct/>
        <w:topLinePunct w:val="0"/>
        <w:bidi w:val="0"/>
        <w:snapToGrid w:val="0"/>
        <w:spacing w:line="600" w:lineRule="exact"/>
        <w:jc w:val="center"/>
        <w:rPr>
          <w:rFonts w:hint="eastAsia" w:ascii="微软雅黑" w:eastAsia="微软雅黑"/>
          <w:color w:val="auto"/>
          <w:sz w:val="21"/>
          <w:szCs w:val="21"/>
          <w:highlight w:val="none"/>
          <w:u w:val="single"/>
        </w:rPr>
      </w:pPr>
      <w:r>
        <w:rPr>
          <w:rFonts w:hint="eastAsia" w:ascii="微软雅黑" w:eastAsia="微软雅黑"/>
          <w:color w:val="auto"/>
          <w:sz w:val="21"/>
          <w:szCs w:val="21"/>
          <w:highlight w:val="none"/>
        </w:rPr>
        <w:t xml:space="preserve">        帐       号：</w:t>
      </w:r>
      <w:r>
        <w:rPr>
          <w:rFonts w:hint="eastAsia" w:ascii="微软雅黑" w:eastAsia="微软雅黑"/>
          <w:color w:val="auto"/>
          <w:sz w:val="21"/>
          <w:szCs w:val="21"/>
          <w:highlight w:val="none"/>
          <w:u w:val="single"/>
        </w:rPr>
        <w:t xml:space="preserve">                   </w:t>
      </w:r>
    </w:p>
    <w:p>
      <w:pPr>
        <w:pStyle w:val="50"/>
        <w:rPr>
          <w:rFonts w:hint="eastAsia"/>
          <w:color w:val="auto"/>
          <w:highlight w:val="none"/>
        </w:rPr>
      </w:pPr>
    </w:p>
    <w:bookmarkEnd w:id="13"/>
    <w:p>
      <w:pPr>
        <w:spacing w:line="360" w:lineRule="exact"/>
        <w:jc w:val="center"/>
        <w:rPr>
          <w:rFonts w:ascii="宋体" w:hAnsi="宋体"/>
          <w:color w:val="auto"/>
          <w:szCs w:val="21"/>
          <w:highlight w:val="none"/>
        </w:rPr>
      </w:pPr>
      <w:r>
        <w:rPr>
          <w:rFonts w:hint="eastAsia" w:ascii="宋体" w:hAnsi="宋体" w:cs="黑体"/>
          <w:b/>
          <w:bCs/>
          <w:color w:val="auto"/>
          <w:sz w:val="32"/>
          <w:szCs w:val="32"/>
          <w:highlight w:val="none"/>
        </w:rPr>
        <w:t xml:space="preserve">第四章 </w:t>
      </w:r>
      <w:r>
        <w:rPr>
          <w:rFonts w:hint="eastAsia" w:ascii="宋体" w:hAnsi="宋体" w:cs="黑体"/>
          <w:b/>
          <w:color w:val="auto"/>
          <w:sz w:val="32"/>
          <w:szCs w:val="32"/>
          <w:highlight w:val="none"/>
        </w:rPr>
        <w:t>采购需求</w:t>
      </w:r>
    </w:p>
    <w:p>
      <w:pPr>
        <w:spacing w:line="480" w:lineRule="exact"/>
        <w:rPr>
          <w:b/>
          <w:bCs/>
        </w:rPr>
      </w:pPr>
      <w:r>
        <w:rPr>
          <w:b/>
          <w:bCs/>
        </w:rPr>
        <w:t>一、</w:t>
      </w:r>
      <w:r>
        <w:rPr>
          <w:rFonts w:hint="eastAsia"/>
          <w:b/>
          <w:bCs/>
        </w:rPr>
        <w:t xml:space="preserve"> </w:t>
      </w:r>
      <w:r>
        <w:rPr>
          <w:b/>
          <w:bCs/>
        </w:rPr>
        <w:t>采购项目名称：</w:t>
      </w:r>
      <w:r>
        <w:rPr>
          <w:rFonts w:hint="eastAsia"/>
          <w:b/>
          <w:bCs/>
          <w:lang w:eastAsia="zh-CN"/>
        </w:rPr>
        <w:t>娄星南路北段及众园路建设工程回购款利息及借款利息咨询服务项目</w:t>
      </w:r>
      <w:r>
        <w:rPr>
          <w:b/>
          <w:bCs/>
        </w:rPr>
        <w:t>。</w:t>
      </w:r>
    </w:p>
    <w:p>
      <w:pPr>
        <w:adjustRightInd w:val="0"/>
        <w:snapToGrid w:val="0"/>
        <w:spacing w:line="360" w:lineRule="auto"/>
        <w:ind w:firstLine="525" w:firstLineChars="250"/>
        <w:rPr>
          <w:rFonts w:hint="eastAsia" w:eastAsia="宋体"/>
          <w:u w:val="single"/>
          <w:lang w:eastAsia="zh-CN"/>
        </w:rPr>
      </w:pPr>
      <w:r>
        <w:rPr>
          <w:rFonts w:hint="eastAsia" w:ascii="宋体" w:hAnsi="宋体"/>
          <w:color w:val="000000"/>
        </w:rPr>
        <w:t>托代理编号：</w:t>
      </w:r>
      <w:bookmarkStart w:id="17" w:name="_Toc300678508"/>
      <w:r>
        <w:rPr>
          <w:rFonts w:hint="eastAsia"/>
          <w:u w:val="single"/>
        </w:rPr>
        <w:t>XNZX-202</w:t>
      </w:r>
      <w:r>
        <w:rPr>
          <w:rFonts w:hint="eastAsia"/>
          <w:u w:val="single"/>
          <w:lang w:val="en-US" w:eastAsia="zh-CN"/>
        </w:rPr>
        <w:t>3</w:t>
      </w:r>
      <w:r>
        <w:rPr>
          <w:rFonts w:hint="eastAsia"/>
          <w:u w:val="single"/>
        </w:rPr>
        <w:t>NBCS00</w:t>
      </w:r>
      <w:r>
        <w:rPr>
          <w:rFonts w:hint="eastAsia"/>
          <w:u w:val="single"/>
          <w:lang w:val="en-US" w:eastAsia="zh-CN"/>
        </w:rPr>
        <w:t>5</w:t>
      </w:r>
    </w:p>
    <w:p>
      <w:pPr>
        <w:spacing w:line="480" w:lineRule="exact"/>
        <w:rPr>
          <w:rFonts w:hint="eastAsia"/>
          <w:b/>
          <w:bCs/>
        </w:rPr>
      </w:pPr>
      <w:r>
        <w:rPr>
          <w:rFonts w:hint="eastAsia"/>
          <w:b/>
          <w:bCs/>
          <w:szCs w:val="22"/>
        </w:rPr>
        <w:t>二、</w:t>
      </w:r>
      <w:r>
        <w:rPr>
          <w:rFonts w:hint="eastAsia"/>
          <w:b/>
          <w:bCs/>
        </w:rPr>
        <w:t>项目概况及主要数据</w:t>
      </w:r>
    </w:p>
    <w:p>
      <w:pPr>
        <w:spacing w:line="480" w:lineRule="exact"/>
        <w:rPr>
          <w:rFonts w:hint="eastAsia"/>
        </w:rPr>
      </w:pPr>
      <w:r>
        <w:rPr>
          <w:rFonts w:hint="eastAsia"/>
        </w:rPr>
        <w:t xml:space="preserve">   </w:t>
      </w:r>
    </w:p>
    <w:tbl>
      <w:tblPr>
        <w:tblStyle w:val="32"/>
        <w:tblW w:w="8989" w:type="dxa"/>
        <w:tblInd w:w="0" w:type="dxa"/>
        <w:tblLayout w:type="fixed"/>
        <w:tblCellMar>
          <w:top w:w="0" w:type="dxa"/>
          <w:left w:w="0" w:type="dxa"/>
          <w:bottom w:w="0" w:type="dxa"/>
          <w:right w:w="0" w:type="dxa"/>
        </w:tblCellMar>
      </w:tblPr>
      <w:tblGrid>
        <w:gridCol w:w="2168"/>
        <w:gridCol w:w="4920"/>
        <w:gridCol w:w="996"/>
        <w:gridCol w:w="905"/>
      </w:tblGrid>
      <w:tr>
        <w:tblPrEx>
          <w:tblCellMar>
            <w:top w:w="0" w:type="dxa"/>
            <w:left w:w="0" w:type="dxa"/>
            <w:bottom w:w="0" w:type="dxa"/>
            <w:right w:w="0" w:type="dxa"/>
          </w:tblCellMar>
        </w:tblPrEx>
        <w:trPr>
          <w:trHeight w:val="532" w:hRule="atLeast"/>
        </w:trPr>
        <w:tc>
          <w:tcPr>
            <w:tcW w:w="2168" w:type="dxa"/>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hint="eastAsia"/>
              </w:rPr>
            </w:pPr>
            <w:r>
              <w:rPr>
                <w:rFonts w:hint="eastAsia" w:ascii="宋体" w:hAnsi="宋体"/>
                <w:szCs w:val="21"/>
              </w:rPr>
              <w:t>项目名称</w:t>
            </w:r>
          </w:p>
        </w:tc>
        <w:tc>
          <w:tcPr>
            <w:tcW w:w="4920" w:type="dxa"/>
            <w:tcBorders>
              <w:top w:val="single" w:color="auto" w:sz="8" w:space="0"/>
              <w:left w:val="single" w:color="auto" w:sz="4" w:space="0"/>
              <w:bottom w:val="single" w:color="auto" w:sz="8" w:space="0"/>
              <w:right w:val="single" w:color="auto" w:sz="8" w:space="0"/>
            </w:tcBorders>
            <w:tcMar>
              <w:left w:w="108" w:type="dxa"/>
              <w:right w:w="108" w:type="dxa"/>
            </w:tcMar>
            <w:vAlign w:val="center"/>
          </w:tcPr>
          <w:p>
            <w:pPr>
              <w:jc w:val="center"/>
              <w:rPr>
                <w:rFonts w:ascii="宋体" w:hAnsi="宋体"/>
                <w:szCs w:val="21"/>
              </w:rPr>
            </w:pPr>
            <w:r>
              <w:rPr>
                <w:rFonts w:hint="eastAsia" w:ascii="宋体" w:hAnsi="宋体"/>
                <w:szCs w:val="21"/>
              </w:rPr>
              <w:t>采购主要内容</w:t>
            </w:r>
          </w:p>
        </w:tc>
        <w:tc>
          <w:tcPr>
            <w:tcW w:w="996" w:type="dxa"/>
            <w:tcBorders>
              <w:top w:val="single" w:color="auto" w:sz="8" w:space="0"/>
              <w:left w:val="nil"/>
              <w:bottom w:val="single" w:color="auto" w:sz="8" w:space="0"/>
              <w:right w:val="single" w:color="auto" w:sz="8" w:space="0"/>
            </w:tcBorders>
            <w:tcMar>
              <w:left w:w="108" w:type="dxa"/>
              <w:right w:w="108" w:type="dxa"/>
            </w:tcMar>
            <w:vAlign w:val="center"/>
          </w:tcPr>
          <w:p>
            <w:pPr>
              <w:jc w:val="center"/>
              <w:rPr>
                <w:rFonts w:hint="eastAsia"/>
              </w:rPr>
            </w:pPr>
            <w:r>
              <w:rPr>
                <w:rFonts w:hint="eastAsia" w:ascii="宋体" w:hAnsi="宋体"/>
                <w:szCs w:val="21"/>
              </w:rPr>
              <w:t>服务期</w:t>
            </w:r>
          </w:p>
        </w:tc>
        <w:tc>
          <w:tcPr>
            <w:tcW w:w="905" w:type="dxa"/>
            <w:tcBorders>
              <w:top w:val="single" w:color="auto" w:sz="8" w:space="0"/>
              <w:left w:val="nil"/>
              <w:bottom w:val="single" w:color="auto" w:sz="8" w:space="0"/>
              <w:right w:val="single" w:color="auto" w:sz="8" w:space="0"/>
            </w:tcBorders>
            <w:tcMar>
              <w:left w:w="108" w:type="dxa"/>
              <w:right w:w="108" w:type="dxa"/>
            </w:tcMar>
            <w:vAlign w:val="center"/>
          </w:tcPr>
          <w:p>
            <w:pPr>
              <w:jc w:val="center"/>
              <w:rPr>
                <w:rFonts w:hint="eastAsia"/>
              </w:rPr>
            </w:pPr>
            <w:r>
              <w:rPr>
                <w:rFonts w:hint="eastAsia" w:ascii="宋体" w:hAnsi="宋体"/>
                <w:szCs w:val="21"/>
              </w:rPr>
              <w:t>最高限制价</w:t>
            </w:r>
          </w:p>
        </w:tc>
      </w:tr>
      <w:tr>
        <w:tblPrEx>
          <w:tblCellMar>
            <w:top w:w="0" w:type="dxa"/>
            <w:left w:w="0" w:type="dxa"/>
            <w:bottom w:w="0" w:type="dxa"/>
            <w:right w:w="0" w:type="dxa"/>
          </w:tblCellMar>
        </w:tblPrEx>
        <w:trPr>
          <w:trHeight w:val="2000" w:hRule="atLeast"/>
        </w:trPr>
        <w:tc>
          <w:tcPr>
            <w:tcW w:w="2168" w:type="dxa"/>
            <w:tcBorders>
              <w:top w:val="nil"/>
              <w:left w:val="single" w:color="auto" w:sz="8" w:space="0"/>
              <w:bottom w:val="single" w:color="auto" w:sz="4" w:space="0"/>
              <w:right w:val="single" w:color="auto" w:sz="4" w:space="0"/>
            </w:tcBorders>
            <w:tcMar>
              <w:left w:w="108" w:type="dxa"/>
              <w:right w:w="108" w:type="dxa"/>
            </w:tcMar>
            <w:vAlign w:val="center"/>
          </w:tcPr>
          <w:p>
            <w:pPr>
              <w:spacing w:line="360" w:lineRule="auto"/>
              <w:jc w:val="left"/>
              <w:rPr>
                <w:rFonts w:hint="eastAsia"/>
                <w:u w:val="none"/>
              </w:rPr>
            </w:pPr>
            <w:r>
              <w:rPr>
                <w:rFonts w:hint="eastAsia"/>
                <w:u w:val="none"/>
                <w:lang w:eastAsia="zh-CN"/>
              </w:rPr>
              <w:t>娄星南路北段及众园路建设工程回购款利息及借款利息咨询服务项目</w:t>
            </w:r>
          </w:p>
        </w:tc>
        <w:tc>
          <w:tcPr>
            <w:tcW w:w="4920" w:type="dxa"/>
            <w:tcBorders>
              <w:top w:val="nil"/>
              <w:left w:val="single" w:color="auto" w:sz="4" w:space="0"/>
              <w:bottom w:val="single" w:color="auto" w:sz="4" w:space="0"/>
              <w:right w:val="single" w:color="auto" w:sz="8" w:space="0"/>
            </w:tcBorders>
            <w:tcMar>
              <w:left w:w="108" w:type="dxa"/>
              <w:right w:w="108" w:type="dxa"/>
            </w:tcMar>
            <w:vAlign w:val="center"/>
          </w:tcPr>
          <w:p>
            <w:pPr>
              <w:spacing w:line="360" w:lineRule="auto"/>
              <w:jc w:val="left"/>
              <w:rPr>
                <w:rFonts w:hint="eastAsia" w:hAnsi="宋体"/>
                <w:u w:val="none"/>
              </w:rPr>
            </w:pPr>
            <w:r>
              <w:rPr>
                <w:rFonts w:hint="eastAsia" w:hAnsi="宋体"/>
                <w:u w:val="none"/>
                <w:lang w:val="en-US" w:eastAsia="zh-CN"/>
              </w:rPr>
              <w:t>娄星南路北段(众园路至湘中大道)建设工程、娄星南路孙水河大桥(含沿河北路) 建设工程、众园路东段(K1+300-K2489.64段)新建工程审定工程款合计为 37666.66214 万元，另有经费借款 8002 万元。现需根据相关文件计算本项目利息款，并出具核准报告。</w:t>
            </w:r>
          </w:p>
        </w:tc>
        <w:tc>
          <w:tcPr>
            <w:tcW w:w="996" w:type="dxa"/>
            <w:tcBorders>
              <w:top w:val="nil"/>
              <w:left w:val="nil"/>
              <w:bottom w:val="single" w:color="auto" w:sz="4" w:space="0"/>
              <w:right w:val="single" w:color="auto" w:sz="8" w:space="0"/>
            </w:tcBorders>
            <w:tcMar>
              <w:left w:w="108" w:type="dxa"/>
              <w:right w:w="108" w:type="dxa"/>
            </w:tcMar>
            <w:vAlign w:val="center"/>
          </w:tcPr>
          <w:p>
            <w:pPr>
              <w:spacing w:line="360" w:lineRule="auto"/>
              <w:jc w:val="center"/>
              <w:rPr>
                <w:rFonts w:hint="default" w:eastAsia="宋体"/>
                <w:u w:val="none"/>
                <w:lang w:val="en-US" w:eastAsia="zh-CN"/>
              </w:rPr>
            </w:pPr>
            <w:r>
              <w:rPr>
                <w:rFonts w:hint="eastAsia"/>
                <w:u w:val="none"/>
                <w:lang w:val="en-US" w:eastAsia="zh-CN"/>
              </w:rPr>
              <w:t>15日历日</w:t>
            </w:r>
          </w:p>
        </w:tc>
        <w:tc>
          <w:tcPr>
            <w:tcW w:w="905" w:type="dxa"/>
            <w:tcBorders>
              <w:top w:val="nil"/>
              <w:left w:val="nil"/>
              <w:bottom w:val="single" w:color="auto" w:sz="4" w:space="0"/>
              <w:right w:val="single" w:color="auto" w:sz="8" w:space="0"/>
            </w:tcBorders>
            <w:tcMar>
              <w:left w:w="108" w:type="dxa"/>
              <w:right w:w="108" w:type="dxa"/>
            </w:tcMar>
            <w:vAlign w:val="center"/>
          </w:tcPr>
          <w:p>
            <w:pPr>
              <w:jc w:val="center"/>
              <w:rPr>
                <w:rFonts w:hint="eastAsia"/>
                <w:u w:val="none"/>
              </w:rPr>
            </w:pPr>
            <w:r>
              <w:rPr>
                <w:rFonts w:hint="eastAsia" w:ascii="宋体" w:hAnsi="宋体" w:eastAsia="微软雅黑"/>
                <w:bCs/>
                <w:u w:val="none"/>
                <w:lang w:val="en-US" w:eastAsia="zh-CN"/>
              </w:rPr>
              <w:t>79168.00</w:t>
            </w:r>
            <w:r>
              <w:rPr>
                <w:rFonts w:hint="eastAsia" w:ascii="宋体" w:hAnsi="宋体" w:eastAsia="微软雅黑"/>
                <w:bCs/>
                <w:u w:val="none"/>
              </w:rPr>
              <w:t>元</w:t>
            </w:r>
          </w:p>
        </w:tc>
      </w:tr>
    </w:tbl>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、项目地点：</w:t>
      </w:r>
      <w:r>
        <w:rPr>
          <w:rFonts w:hint="eastAsia" w:ascii="宋体" w:hAnsi="宋体" w:eastAsia="宋体" w:cs="宋体"/>
          <w:bCs/>
          <w:color w:val="auto"/>
          <w:szCs w:val="21"/>
          <w:highlight w:val="none"/>
          <w:lang w:val="en-US" w:eastAsia="zh-CN"/>
        </w:rPr>
        <w:t>娄底市万宝新区开发投资集团有限公司。地址：娄底市娄星区静安街百弘学府城B6栋。</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、工作要求：</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（1）现需根据相关文件计算本项目利息款，并出具核准报告。</w:t>
      </w:r>
    </w:p>
    <w:p>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（2）投</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提供的相关工作成果需满足采购人需要，并经采购人审核认可</w:t>
      </w:r>
      <w:r>
        <w:rPr>
          <w:rFonts w:hint="eastAsia" w:ascii="宋体" w:hAnsi="宋体" w:eastAsia="宋体" w:cs="宋体"/>
          <w:bCs/>
          <w:color w:val="auto"/>
          <w:szCs w:val="21"/>
          <w:highlight w:val="none"/>
          <w:lang w:eastAsia="zh-CN"/>
        </w:rPr>
        <w:t>。</w:t>
      </w:r>
    </w:p>
    <w:p>
      <w:pPr>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（3）供应商应积极配合采购人的相关工作，组织专业团队，专人负责完成本项目。团队人员职责分工明确、合理，应包含具有丰富的类似项目经验的专业人员。</w:t>
      </w:r>
    </w:p>
    <w:p>
      <w:pPr>
        <w:spacing w:line="480" w:lineRule="exact"/>
        <w:rPr>
          <w:rFonts w:hint="eastAsia" w:ascii="Times New Roman" w:hAnsi="Times New Roman" w:eastAsia="宋体" w:cs="Times New Roman"/>
          <w:b/>
          <w:bCs/>
          <w:szCs w:val="22"/>
        </w:rPr>
      </w:pPr>
      <w:r>
        <w:rPr>
          <w:rFonts w:hint="eastAsia" w:ascii="Times New Roman" w:hAnsi="Times New Roman" w:eastAsia="宋体" w:cs="Times New Roman"/>
          <w:b/>
          <w:bCs/>
          <w:szCs w:val="22"/>
          <w:lang w:val="en-US" w:eastAsia="zh-CN"/>
        </w:rPr>
        <w:t>三</w:t>
      </w:r>
      <w:r>
        <w:rPr>
          <w:rFonts w:hint="eastAsia" w:ascii="Times New Roman" w:hAnsi="Times New Roman" w:eastAsia="宋体" w:cs="Times New Roman"/>
          <w:b/>
          <w:bCs/>
          <w:szCs w:val="22"/>
        </w:rPr>
        <w:t>、付款方式：</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1、支付单位：</w:t>
      </w:r>
      <w:r>
        <w:rPr>
          <w:rFonts w:hint="eastAsia" w:ascii="宋体" w:hAnsi="宋体" w:eastAsia="宋体" w:cs="宋体"/>
          <w:bCs/>
          <w:color w:val="auto"/>
          <w:szCs w:val="21"/>
          <w:highlight w:val="none"/>
          <w:lang w:val="en-US" w:eastAsia="zh-CN"/>
        </w:rPr>
        <w:t>娄底市万宝新区开发投资集团有限公司、湖南娄底路桥建设有限责任公司</w:t>
      </w:r>
    </w:p>
    <w:p>
      <w:pPr>
        <w:spacing w:line="360" w:lineRule="auto"/>
        <w:ind w:firstLine="420" w:firstLineChars="200"/>
        <w:rPr>
          <w:rFonts w:hint="eastAsia" w:ascii="宋体" w:hAnsi="宋体" w:eastAsia="宋体" w:cs="宋体"/>
          <w:bCs/>
          <w:color w:val="auto"/>
          <w:szCs w:val="21"/>
          <w:highlight w:val="yellow"/>
          <w:lang w:eastAsia="zh-CN"/>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eastAsia="zh-CN"/>
        </w:rPr>
        <w:t>提供的相关工作成果文件经采购人审核认可后，一个月内按成交金额全部支付。</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本项目为包干价，包含服务实施过程中应缴纳的税费、管理费、保险费（含意外保险）、工作人员差旅和食宿费、财务、耗材等一切与该项目有关的费用，投标人应详细列明项目所需的各项费用，一旦中标，在项目实施过程中出现任何费用的遗漏，均由中标人负责，采购人不再另行支付任何费用。</w:t>
      </w:r>
      <w:r>
        <w:rPr>
          <w:rFonts w:hint="eastAsia" w:ascii="宋体" w:hAnsi="宋体" w:eastAsia="宋体" w:cs="宋体"/>
          <w:bCs/>
          <w:color w:val="auto"/>
          <w:szCs w:val="21"/>
          <w:highlight w:val="none"/>
          <w:lang w:val="en-US" w:eastAsia="zh-CN"/>
        </w:rPr>
        <w:t>服务</w:t>
      </w:r>
      <w:r>
        <w:rPr>
          <w:rFonts w:hint="eastAsia" w:ascii="宋体" w:hAnsi="宋体" w:eastAsia="宋体" w:cs="宋体"/>
          <w:bCs/>
          <w:color w:val="auto"/>
          <w:szCs w:val="21"/>
          <w:highlight w:val="none"/>
        </w:rPr>
        <w:t>过程中因意外事故引起的费用均由中标方承担。</w:t>
      </w:r>
    </w:p>
    <w:p>
      <w:pPr>
        <w:pStyle w:val="49"/>
        <w:ind w:firstLine="210" w:firstLineChars="100"/>
      </w:pPr>
    </w:p>
    <w:p>
      <w:pPr>
        <w:spacing w:line="360" w:lineRule="auto"/>
        <w:ind w:left="628" w:leftChars="1" w:right="23" w:rightChars="11" w:hanging="626" w:hangingChars="297"/>
        <w:jc w:val="center"/>
        <w:rPr>
          <w:rFonts w:hint="eastAsia" w:ascii="宋体" w:hAnsi="宋体" w:cs="宋体"/>
          <w:b/>
          <w:szCs w:val="21"/>
        </w:rPr>
      </w:pPr>
      <w:r>
        <w:rPr>
          <w:rFonts w:hint="eastAsia" w:ascii="宋体" w:hAnsi="宋体" w:cs="宋体"/>
          <w:b/>
          <w:szCs w:val="21"/>
        </w:rPr>
        <w:t>注：以上采购需求请投标供应商在投标文件中进行响应，并对相关条款提供承诺。</w:t>
      </w:r>
      <w:bookmarkEnd w:id="17"/>
    </w:p>
    <w:p>
      <w:pP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br w:type="page"/>
      </w:r>
    </w:p>
    <w:p>
      <w:pPr>
        <w:pStyle w:val="49"/>
        <w:rPr>
          <w:rFonts w:hint="eastAsia" w:ascii="宋体" w:hAnsi="宋体"/>
          <w:b/>
          <w:bCs/>
          <w:color w:val="auto"/>
          <w:szCs w:val="21"/>
          <w:highlight w:val="none"/>
        </w:rPr>
      </w:pPr>
    </w:p>
    <w:p>
      <w:pPr>
        <w:pStyle w:val="49"/>
        <w:rPr>
          <w:rFonts w:hint="eastAsia" w:ascii="宋体" w:hAnsi="宋体"/>
          <w:b/>
          <w:bCs/>
          <w:color w:val="auto"/>
          <w:szCs w:val="21"/>
          <w:highlight w:val="none"/>
        </w:rPr>
      </w:pPr>
    </w:p>
    <w:p>
      <w:pPr>
        <w:pStyle w:val="3"/>
        <w:bidi w:val="0"/>
        <w:jc w:val="center"/>
        <w:rPr>
          <w:rFonts w:hint="eastAsia" w:ascii="Times New Roman" w:hAnsi="Times New Roman" w:eastAsia="宋体" w:cs="Times New Roman"/>
          <w:color w:val="auto"/>
          <w:sz w:val="32"/>
          <w:szCs w:val="32"/>
          <w:highlight w:val="none"/>
        </w:rPr>
      </w:pPr>
      <w:bookmarkStart w:id="18" w:name="_Toc30312"/>
      <w:r>
        <w:rPr>
          <w:rFonts w:hint="eastAsia" w:ascii="Times New Roman" w:hAnsi="Times New Roman" w:eastAsia="宋体" w:cs="Times New Roman"/>
          <w:color w:val="auto"/>
          <w:sz w:val="32"/>
          <w:szCs w:val="32"/>
          <w:highlight w:val="none"/>
        </w:rPr>
        <w:t>第五章 响应文件组成</w:t>
      </w:r>
      <w:bookmarkEnd w:id="18"/>
    </w:p>
    <w:p>
      <w:pPr>
        <w:bidi w:val="0"/>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color w:val="auto"/>
          <w:highlight w:val="none"/>
        </w:rPr>
        <w:t>供应商的响应文件应包含以下八个部分：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color w:val="auto"/>
          <w:highlight w:val="none"/>
        </w:rPr>
      </w:pPr>
      <w:r>
        <w:rPr>
          <w:rFonts w:hint="eastAsia"/>
          <w:b/>
          <w:bCs/>
          <w:color w:val="auto"/>
          <w:highlight w:val="none"/>
        </w:rPr>
        <w:t>一、磋商响应声明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color w:val="auto"/>
          <w:highlight w:val="none"/>
        </w:rPr>
        <w:t>附件1：法定代表人身份证明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color w:val="auto"/>
          <w:highlight w:val="none"/>
        </w:rPr>
        <w:t>附件2：法定代表人授权委托书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color w:val="auto"/>
          <w:highlight w:val="none"/>
        </w:rPr>
      </w:pPr>
      <w:r>
        <w:rPr>
          <w:rFonts w:hint="eastAsia"/>
          <w:b/>
          <w:bCs/>
          <w:color w:val="auto"/>
          <w:highlight w:val="none"/>
          <w:lang w:val="en-US" w:eastAsia="zh-CN"/>
        </w:rPr>
        <w:t>二</w:t>
      </w:r>
      <w:r>
        <w:rPr>
          <w:rFonts w:hint="eastAsia"/>
          <w:b/>
          <w:bCs/>
          <w:color w:val="auto"/>
          <w:highlight w:val="none"/>
        </w:rPr>
        <w:t>、供应商的资格证明资料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color w:val="auto"/>
          <w:highlight w:val="none"/>
        </w:rPr>
        <w:t>附件</w:t>
      </w:r>
      <w:r>
        <w:rPr>
          <w:rFonts w:hint="eastAsia"/>
          <w:color w:val="auto"/>
          <w:highlight w:val="none"/>
          <w:lang w:val="en-US" w:eastAsia="zh-CN"/>
        </w:rPr>
        <w:t>3</w:t>
      </w:r>
      <w:r>
        <w:rPr>
          <w:rFonts w:hint="eastAsia"/>
          <w:color w:val="auto"/>
          <w:highlight w:val="none"/>
        </w:rPr>
        <w:t>：供应商基本情况表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color w:val="auto"/>
          <w:highlight w:val="none"/>
        </w:rPr>
        <w:t>附件</w:t>
      </w:r>
      <w:r>
        <w:rPr>
          <w:rFonts w:hint="eastAsia"/>
          <w:color w:val="auto"/>
          <w:highlight w:val="none"/>
          <w:lang w:val="en-US" w:eastAsia="zh-CN"/>
        </w:rPr>
        <w:t>4</w:t>
      </w:r>
      <w:r>
        <w:rPr>
          <w:rFonts w:hint="eastAsia"/>
          <w:color w:val="auto"/>
          <w:highlight w:val="none"/>
        </w:rPr>
        <w:t>：磋商文件规定的基本资格条件证明资料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color w:val="auto"/>
          <w:highlight w:val="none"/>
        </w:rPr>
        <w:t>附件</w:t>
      </w:r>
      <w:r>
        <w:rPr>
          <w:rFonts w:hint="eastAsia"/>
          <w:color w:val="auto"/>
          <w:highlight w:val="none"/>
          <w:lang w:val="en-US" w:eastAsia="zh-CN"/>
        </w:rPr>
        <w:t>5</w:t>
      </w:r>
      <w:r>
        <w:rPr>
          <w:rFonts w:hint="eastAsia"/>
          <w:color w:val="auto"/>
          <w:highlight w:val="none"/>
        </w:rPr>
        <w:t>：磋商文件规定的特定资格条件证明资料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color w:val="auto"/>
          <w:highlight w:val="none"/>
        </w:rPr>
        <w:t>附件</w:t>
      </w:r>
      <w:r>
        <w:rPr>
          <w:rFonts w:hint="eastAsia"/>
          <w:color w:val="auto"/>
          <w:highlight w:val="none"/>
          <w:lang w:val="en-US" w:eastAsia="zh-CN"/>
        </w:rPr>
        <w:t>6</w:t>
      </w:r>
      <w:r>
        <w:rPr>
          <w:rFonts w:hint="eastAsia"/>
          <w:color w:val="auto"/>
          <w:highlight w:val="none"/>
        </w:rPr>
        <w:t>：其他证明资料或说明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b/>
          <w:bCs/>
          <w:color w:val="auto"/>
          <w:highlight w:val="none"/>
          <w:lang w:val="en-US" w:eastAsia="zh-CN"/>
        </w:rPr>
        <w:t>三</w:t>
      </w:r>
      <w:r>
        <w:rPr>
          <w:rFonts w:hint="eastAsia"/>
          <w:b/>
          <w:bCs/>
          <w:color w:val="auto"/>
          <w:highlight w:val="none"/>
        </w:rPr>
        <w:t>、提供享受政府采购政策的证明材料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color w:val="auto"/>
          <w:highlight w:val="none"/>
        </w:rPr>
      </w:pPr>
      <w:r>
        <w:rPr>
          <w:rFonts w:hint="eastAsia"/>
          <w:b/>
          <w:bCs/>
          <w:color w:val="auto"/>
          <w:highlight w:val="none"/>
          <w:lang w:val="en-US" w:eastAsia="zh-CN"/>
        </w:rPr>
        <w:t>四</w:t>
      </w:r>
      <w:r>
        <w:rPr>
          <w:rFonts w:hint="eastAsia"/>
          <w:b/>
          <w:bCs/>
          <w:color w:val="auto"/>
          <w:highlight w:val="none"/>
        </w:rPr>
        <w:t>、</w:t>
      </w:r>
      <w:r>
        <w:rPr>
          <w:rFonts w:hint="eastAsia"/>
          <w:b/>
          <w:bCs/>
          <w:color w:val="auto"/>
          <w:highlight w:val="none"/>
          <w:lang w:eastAsia="zh-CN"/>
        </w:rPr>
        <w:t>服务组织设计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color w:val="auto"/>
          <w:highlight w:val="none"/>
        </w:rPr>
        <w:t>附件</w:t>
      </w:r>
      <w:r>
        <w:rPr>
          <w:rFonts w:hint="eastAsia"/>
          <w:color w:val="auto"/>
          <w:highlight w:val="none"/>
          <w:lang w:val="en-US" w:eastAsia="zh-CN"/>
        </w:rPr>
        <w:t>7</w:t>
      </w:r>
      <w:r>
        <w:rPr>
          <w:rFonts w:hint="eastAsia"/>
          <w:color w:val="auto"/>
          <w:highlight w:val="none"/>
        </w:rPr>
        <w:t xml:space="preserve">：主要人员简历表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color w:val="auto"/>
          <w:highlight w:val="none"/>
        </w:rPr>
      </w:pPr>
      <w:r>
        <w:rPr>
          <w:rFonts w:hint="eastAsia"/>
          <w:b/>
          <w:bCs/>
          <w:color w:val="auto"/>
          <w:highlight w:val="none"/>
          <w:lang w:val="en-US" w:eastAsia="zh-CN"/>
        </w:rPr>
        <w:t>五</w:t>
      </w:r>
      <w:r>
        <w:rPr>
          <w:rFonts w:hint="eastAsia"/>
          <w:b/>
          <w:bCs/>
          <w:color w:val="auto"/>
          <w:highlight w:val="none"/>
        </w:rPr>
        <w:t>、技术/商务响应与偏离表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b/>
          <w:bCs/>
          <w:color w:val="auto"/>
          <w:highlight w:val="none"/>
          <w:lang w:val="en-US" w:eastAsia="zh-CN"/>
        </w:rPr>
        <w:t>六</w:t>
      </w:r>
      <w:r>
        <w:rPr>
          <w:rFonts w:hint="eastAsia"/>
          <w:b/>
          <w:bCs/>
          <w:color w:val="auto"/>
          <w:highlight w:val="none"/>
        </w:rPr>
        <w:t>、报价一览表及分项价格表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color w:val="auto"/>
          <w:highlight w:val="none"/>
        </w:rPr>
        <w:t>附件</w:t>
      </w:r>
      <w:r>
        <w:rPr>
          <w:rFonts w:hint="eastAsia"/>
          <w:color w:val="auto"/>
          <w:highlight w:val="none"/>
          <w:lang w:val="en-US" w:eastAsia="zh-CN"/>
        </w:rPr>
        <w:t>8</w:t>
      </w:r>
      <w:r>
        <w:rPr>
          <w:rFonts w:hint="eastAsia"/>
          <w:color w:val="auto"/>
          <w:highlight w:val="none"/>
        </w:rPr>
        <w:t>：报价一览表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color w:val="auto"/>
          <w:highlight w:val="none"/>
        </w:rPr>
      </w:pPr>
      <w:r>
        <w:rPr>
          <w:rFonts w:hint="eastAsia"/>
          <w:b/>
          <w:bCs/>
          <w:color w:val="auto"/>
          <w:highlight w:val="none"/>
          <w:lang w:val="en-US" w:eastAsia="zh-CN"/>
        </w:rPr>
        <w:t>七</w:t>
      </w:r>
      <w:r>
        <w:rPr>
          <w:rFonts w:hint="eastAsia"/>
          <w:b/>
          <w:bCs/>
          <w:color w:val="auto"/>
          <w:highlight w:val="none"/>
        </w:rPr>
        <w:t>、供应商认为需提供的其它资料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b/>
          <w:bCs/>
          <w:color w:val="auto"/>
          <w:highlight w:val="none"/>
          <w:lang w:val="en-US" w:eastAsia="zh-CN"/>
        </w:rPr>
        <w:t>八</w:t>
      </w:r>
      <w:r>
        <w:rPr>
          <w:rFonts w:hint="eastAsia"/>
          <w:b/>
          <w:bCs/>
          <w:color w:val="auto"/>
          <w:highlight w:val="none"/>
        </w:rPr>
        <w:t>、最后报价</w:t>
      </w: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adjustRightInd w:val="0"/>
        <w:snapToGrid w:val="0"/>
        <w:spacing w:line="360" w:lineRule="auto"/>
        <w:jc w:val="center"/>
        <w:rPr>
          <w:rFonts w:hint="eastAsia" w:ascii="宋体" w:hAnsi="宋体"/>
          <w:b/>
          <w:bCs/>
          <w:color w:val="auto"/>
          <w:sz w:val="84"/>
          <w:szCs w:val="84"/>
          <w:highlight w:val="none"/>
          <w:lang w:val="en-US" w:eastAsia="zh-CN"/>
        </w:rPr>
      </w:pPr>
    </w:p>
    <w:p>
      <w:pPr>
        <w:adjustRightInd w:val="0"/>
        <w:snapToGrid w:val="0"/>
        <w:spacing w:line="360" w:lineRule="auto"/>
        <w:jc w:val="center"/>
        <w:rPr>
          <w:rFonts w:hint="eastAsia" w:ascii="宋体" w:hAnsi="宋体"/>
          <w:b/>
          <w:bCs/>
          <w:color w:val="auto"/>
          <w:sz w:val="84"/>
          <w:szCs w:val="84"/>
          <w:highlight w:val="none"/>
        </w:rPr>
      </w:pPr>
      <w:r>
        <w:rPr>
          <w:rFonts w:hint="eastAsia" w:ascii="宋体" w:hAnsi="宋体"/>
          <w:b/>
          <w:bCs/>
          <w:color w:val="auto"/>
          <w:sz w:val="84"/>
          <w:szCs w:val="84"/>
          <w:highlight w:val="none"/>
          <w:lang w:val="en-US" w:eastAsia="zh-CN"/>
        </w:rPr>
        <w:t>磋 商 响 应</w:t>
      </w:r>
      <w:r>
        <w:rPr>
          <w:rFonts w:hint="eastAsia" w:ascii="宋体" w:hAnsi="宋体"/>
          <w:b/>
          <w:bCs/>
          <w:color w:val="auto"/>
          <w:sz w:val="84"/>
          <w:szCs w:val="84"/>
          <w:highlight w:val="none"/>
        </w:rPr>
        <w:t xml:space="preserve"> </w:t>
      </w:r>
    </w:p>
    <w:p>
      <w:pPr>
        <w:adjustRightInd w:val="0"/>
        <w:snapToGrid w:val="0"/>
        <w:spacing w:line="360" w:lineRule="auto"/>
        <w:jc w:val="center"/>
        <w:rPr>
          <w:rFonts w:ascii="宋体" w:hAnsi="宋体"/>
          <w:b/>
          <w:bCs/>
          <w:color w:val="auto"/>
          <w:sz w:val="84"/>
          <w:szCs w:val="84"/>
          <w:highlight w:val="none"/>
        </w:rPr>
      </w:pPr>
      <w:r>
        <w:rPr>
          <w:rFonts w:hint="eastAsia" w:ascii="宋体" w:hAnsi="宋体"/>
          <w:b/>
          <w:bCs/>
          <w:color w:val="auto"/>
          <w:sz w:val="84"/>
          <w:szCs w:val="84"/>
          <w:highlight w:val="none"/>
        </w:rPr>
        <w:t>文 件</w:t>
      </w:r>
    </w:p>
    <w:p>
      <w:pPr>
        <w:adjustRightInd w:val="0"/>
        <w:snapToGrid w:val="0"/>
        <w:spacing w:line="360" w:lineRule="auto"/>
        <w:rPr>
          <w:rFonts w:ascii="黑体" w:hAnsi="黑体" w:eastAsia="黑体"/>
          <w:b/>
          <w:color w:val="auto"/>
          <w:sz w:val="32"/>
          <w:szCs w:val="32"/>
          <w:highlight w:val="none"/>
        </w:rPr>
      </w:pPr>
    </w:p>
    <w:p>
      <w:pPr>
        <w:adjustRightInd w:val="0"/>
        <w:snapToGrid w:val="0"/>
        <w:spacing w:line="360" w:lineRule="auto"/>
        <w:rPr>
          <w:rFonts w:ascii="宋体" w:hAnsi="宋体"/>
          <w:b/>
          <w:color w:val="auto"/>
          <w:sz w:val="30"/>
          <w:szCs w:val="30"/>
          <w:highlight w:val="none"/>
        </w:rPr>
      </w:pPr>
    </w:p>
    <w:p>
      <w:pPr>
        <w:adjustRightInd w:val="0"/>
        <w:snapToGrid w:val="0"/>
        <w:spacing w:line="360" w:lineRule="auto"/>
        <w:ind w:firstLine="602" w:firstLineChars="200"/>
        <w:jc w:val="both"/>
        <w:rPr>
          <w:rFonts w:hint="eastAsia" w:ascii="宋体" w:hAnsi="宋体" w:cs="Courier New"/>
          <w:b/>
          <w:bCs/>
          <w:color w:val="auto"/>
          <w:sz w:val="30"/>
          <w:szCs w:val="30"/>
          <w:highlight w:val="none"/>
          <w:u w:val="single"/>
          <w:lang w:val="en-US" w:eastAsia="zh-CN"/>
        </w:rPr>
      </w:pPr>
      <w:r>
        <w:rPr>
          <w:rFonts w:ascii="宋体" w:hAnsi="宋体" w:cs="Courier New"/>
          <w:b/>
          <w:bCs/>
          <w:color w:val="auto"/>
          <w:sz w:val="30"/>
          <w:szCs w:val="30"/>
          <w:highlight w:val="none"/>
        </w:rPr>
        <w:t>采购项目名称：</w:t>
      </w:r>
      <w:r>
        <w:rPr>
          <w:rFonts w:hint="eastAsia" w:ascii="宋体" w:hAnsi="宋体" w:cs="Courier New"/>
          <w:b/>
          <w:bCs/>
          <w:color w:val="auto"/>
          <w:sz w:val="30"/>
          <w:szCs w:val="30"/>
          <w:highlight w:val="none"/>
          <w:u w:val="single"/>
          <w:lang w:val="en-US" w:eastAsia="zh-CN"/>
        </w:rPr>
        <w:t xml:space="preserve">                   </w:t>
      </w:r>
    </w:p>
    <w:p>
      <w:pPr>
        <w:adjustRightInd w:val="0"/>
        <w:snapToGrid w:val="0"/>
        <w:spacing w:line="360" w:lineRule="auto"/>
        <w:ind w:firstLine="602" w:firstLineChars="200"/>
        <w:jc w:val="both"/>
        <w:rPr>
          <w:rFonts w:hint="eastAsia" w:ascii="宋体" w:hAnsi="宋体" w:cs="Courier New"/>
          <w:b/>
          <w:bCs/>
          <w:color w:val="auto"/>
          <w:sz w:val="30"/>
          <w:szCs w:val="30"/>
          <w:highlight w:val="none"/>
          <w:u w:val="single"/>
          <w:lang w:val="en-US" w:eastAsia="zh-CN"/>
        </w:rPr>
      </w:pPr>
    </w:p>
    <w:p>
      <w:pPr>
        <w:adjustRightInd w:val="0"/>
        <w:snapToGrid w:val="0"/>
        <w:spacing w:line="360" w:lineRule="auto"/>
        <w:ind w:firstLine="602" w:firstLineChars="200"/>
        <w:jc w:val="both"/>
        <w:rPr>
          <w:rFonts w:hint="default" w:ascii="宋体" w:hAnsi="宋体" w:eastAsia="宋体" w:cs="Courier New"/>
          <w:b/>
          <w:bCs/>
          <w:color w:val="auto"/>
          <w:sz w:val="30"/>
          <w:szCs w:val="30"/>
          <w:highlight w:val="none"/>
          <w:u w:val="none"/>
          <w:lang w:val="en-US" w:eastAsia="zh-CN"/>
        </w:rPr>
      </w:pPr>
      <w:r>
        <w:rPr>
          <w:rFonts w:hint="eastAsia" w:ascii="宋体" w:hAnsi="宋体" w:cs="Courier New"/>
          <w:b/>
          <w:bCs/>
          <w:color w:val="auto"/>
          <w:sz w:val="30"/>
          <w:szCs w:val="30"/>
          <w:highlight w:val="none"/>
          <w:lang w:val="en-US" w:eastAsia="zh-CN"/>
        </w:rPr>
        <w:t>包</w:t>
      </w:r>
      <w:r>
        <w:rPr>
          <w:rFonts w:ascii="宋体" w:hAnsi="宋体" w:cs="Courier New"/>
          <w:b/>
          <w:bCs/>
          <w:color w:val="auto"/>
          <w:sz w:val="30"/>
          <w:szCs w:val="30"/>
          <w:highlight w:val="none"/>
        </w:rPr>
        <w:t>号：_____</w:t>
      </w:r>
      <w:r>
        <w:rPr>
          <w:rFonts w:hint="eastAsia" w:ascii="宋体" w:hAnsi="宋体" w:cs="Courier New"/>
          <w:b/>
          <w:bCs/>
          <w:color w:val="auto"/>
          <w:sz w:val="30"/>
          <w:szCs w:val="30"/>
          <w:highlight w:val="none"/>
          <w:lang w:val="en-US" w:eastAsia="zh-CN"/>
        </w:rPr>
        <w:t xml:space="preserve">  包名称：</w:t>
      </w:r>
      <w:r>
        <w:rPr>
          <w:rFonts w:hint="eastAsia" w:ascii="宋体" w:hAnsi="宋体" w:cs="Courier New"/>
          <w:b w:val="0"/>
          <w:bCs w:val="0"/>
          <w:color w:val="auto"/>
          <w:sz w:val="30"/>
          <w:szCs w:val="30"/>
          <w:highlight w:val="none"/>
          <w:u w:val="single"/>
          <w:lang w:val="en-US" w:eastAsia="zh-CN"/>
        </w:rPr>
        <w:t xml:space="preserve">             </w:t>
      </w:r>
      <w:r>
        <w:rPr>
          <w:rFonts w:hint="eastAsia" w:ascii="宋体" w:hAnsi="宋体" w:cs="Courier New"/>
          <w:b/>
          <w:bCs/>
          <w:color w:val="auto"/>
          <w:sz w:val="30"/>
          <w:szCs w:val="30"/>
          <w:highlight w:val="none"/>
          <w:u w:val="none"/>
          <w:lang w:val="en-US" w:eastAsia="zh-CN"/>
        </w:rPr>
        <w:t xml:space="preserve"> </w:t>
      </w:r>
    </w:p>
    <w:p>
      <w:pPr>
        <w:adjustRightInd w:val="0"/>
        <w:snapToGrid w:val="0"/>
        <w:spacing w:line="360" w:lineRule="auto"/>
        <w:ind w:firstLine="602" w:firstLineChars="200"/>
        <w:jc w:val="both"/>
        <w:rPr>
          <w:rFonts w:ascii="宋体" w:hAnsi="宋体" w:cs="Courier New"/>
          <w:b/>
          <w:bCs/>
          <w:color w:val="auto"/>
          <w:sz w:val="30"/>
          <w:szCs w:val="30"/>
          <w:highlight w:val="none"/>
        </w:rPr>
      </w:pPr>
    </w:p>
    <w:p>
      <w:pPr>
        <w:adjustRightInd w:val="0"/>
        <w:snapToGrid w:val="0"/>
        <w:spacing w:line="360" w:lineRule="auto"/>
        <w:ind w:firstLine="602" w:firstLineChars="200"/>
        <w:jc w:val="both"/>
        <w:rPr>
          <w:rFonts w:hint="default" w:ascii="宋体" w:hAnsi="宋体" w:eastAsia="宋体" w:cs="Courier New"/>
          <w:b/>
          <w:bCs/>
          <w:color w:val="auto"/>
          <w:sz w:val="30"/>
          <w:szCs w:val="30"/>
          <w:highlight w:val="none"/>
          <w:lang w:val="en-US" w:eastAsia="zh-CN"/>
        </w:rPr>
      </w:pPr>
      <w:r>
        <w:rPr>
          <w:rFonts w:ascii="宋体" w:hAnsi="宋体" w:cs="Courier New"/>
          <w:b/>
          <w:bCs/>
          <w:color w:val="auto"/>
          <w:sz w:val="30"/>
          <w:szCs w:val="30"/>
          <w:highlight w:val="none"/>
        </w:rPr>
        <w:t>委托代理编号：________________</w:t>
      </w:r>
    </w:p>
    <w:p>
      <w:pPr>
        <w:adjustRightInd w:val="0"/>
        <w:snapToGrid w:val="0"/>
        <w:rPr>
          <w:rFonts w:ascii="黑体" w:hAnsi="宋体" w:eastAsia="黑体"/>
          <w:color w:val="auto"/>
          <w:sz w:val="30"/>
          <w:szCs w:val="30"/>
          <w:highlight w:val="none"/>
        </w:rPr>
      </w:pPr>
    </w:p>
    <w:p>
      <w:pPr>
        <w:adjustRightInd w:val="0"/>
        <w:snapToGrid w:val="0"/>
        <w:spacing w:line="360" w:lineRule="auto"/>
        <w:rPr>
          <w:rFonts w:ascii="黑体" w:hAnsi="宋体" w:eastAsia="黑体"/>
          <w:color w:val="auto"/>
          <w:sz w:val="30"/>
          <w:szCs w:val="30"/>
          <w:highlight w:val="none"/>
        </w:rPr>
      </w:pPr>
    </w:p>
    <w:p>
      <w:pPr>
        <w:adjustRightInd w:val="0"/>
        <w:snapToGrid w:val="0"/>
        <w:spacing w:line="360" w:lineRule="auto"/>
        <w:rPr>
          <w:rFonts w:ascii="黑体" w:hAnsi="宋体" w:eastAsia="黑体"/>
          <w:color w:val="auto"/>
          <w:sz w:val="30"/>
          <w:szCs w:val="30"/>
          <w:highlight w:val="none"/>
        </w:rPr>
      </w:pPr>
    </w:p>
    <w:p>
      <w:pPr>
        <w:adjustRightInd w:val="0"/>
        <w:snapToGrid w:val="0"/>
        <w:spacing w:line="360" w:lineRule="auto"/>
        <w:rPr>
          <w:rFonts w:ascii="黑体" w:hAnsi="宋体" w:eastAsia="黑体"/>
          <w:color w:val="auto"/>
          <w:sz w:val="30"/>
          <w:szCs w:val="30"/>
          <w:highlight w:val="none"/>
        </w:rPr>
      </w:pPr>
    </w:p>
    <w:p>
      <w:pPr>
        <w:adjustRightInd w:val="0"/>
        <w:snapToGrid w:val="0"/>
        <w:spacing w:line="360" w:lineRule="auto"/>
        <w:ind w:firstLine="1984" w:firstLineChars="620"/>
        <w:jc w:val="left"/>
        <w:rPr>
          <w:rFonts w:hint="eastAsia" w:ascii="黑体" w:hAnsi="宋体" w:eastAsia="黑体"/>
          <w:color w:val="auto"/>
          <w:sz w:val="32"/>
          <w:szCs w:val="32"/>
          <w:highlight w:val="none"/>
          <w:u w:val="single"/>
        </w:rPr>
      </w:pPr>
      <w:r>
        <w:rPr>
          <w:rFonts w:hint="eastAsia" w:ascii="黑体" w:hAnsi="宋体" w:eastAsia="黑体"/>
          <w:color w:val="auto"/>
          <w:sz w:val="32"/>
          <w:szCs w:val="32"/>
          <w:highlight w:val="none"/>
        </w:rPr>
        <w:t>投标人名称：</w:t>
      </w:r>
      <w:r>
        <w:rPr>
          <w:rFonts w:hint="eastAsia" w:ascii="黑体" w:hAnsi="宋体" w:eastAsia="黑体"/>
          <w:color w:val="auto"/>
          <w:sz w:val="32"/>
          <w:szCs w:val="32"/>
          <w:highlight w:val="none"/>
          <w:u w:val="single"/>
        </w:rPr>
        <w:t xml:space="preserve">                  </w:t>
      </w:r>
    </w:p>
    <w:p>
      <w:pPr>
        <w:adjustRightInd w:val="0"/>
        <w:snapToGrid w:val="0"/>
        <w:spacing w:line="360" w:lineRule="auto"/>
        <w:ind w:firstLine="3577" w:firstLineChars="1118"/>
        <w:jc w:val="left"/>
        <w:rPr>
          <w:rFonts w:ascii="黑体" w:hAnsi="宋体" w:eastAsia="黑体"/>
          <w:color w:val="auto"/>
          <w:sz w:val="32"/>
          <w:szCs w:val="32"/>
          <w:highlight w:val="none"/>
        </w:rPr>
        <w:sectPr>
          <w:headerReference r:id="rId8" w:type="default"/>
          <w:footerReference r:id="rId9" w:type="default"/>
          <w:pgSz w:w="11906" w:h="16838"/>
          <w:pgMar w:top="1474" w:right="1474" w:bottom="1474" w:left="1588" w:header="851" w:footer="992" w:gutter="0"/>
          <w:cols w:space="720" w:num="1"/>
          <w:docGrid w:type="lines" w:linePitch="312" w:charSpace="0"/>
        </w:sectPr>
      </w:pPr>
      <w:r>
        <w:rPr>
          <w:rFonts w:hint="eastAsia" w:ascii="黑体" w:hAnsi="宋体" w:eastAsia="黑体"/>
          <w:color w:val="auto"/>
          <w:sz w:val="32"/>
          <w:szCs w:val="32"/>
          <w:highlight w:val="none"/>
        </w:rPr>
        <w:t>年  月  日</w:t>
      </w:r>
    </w:p>
    <w:p>
      <w:pPr>
        <w:spacing w:line="360" w:lineRule="exact"/>
        <w:jc w:val="center"/>
        <w:rPr>
          <w:rFonts w:hint="eastAsia" w:ascii="宋体" w:hAnsi="宋体" w:eastAsia="宋体" w:cs="宋体"/>
          <w:color w:val="auto"/>
          <w:sz w:val="24"/>
          <w:highlight w:val="none"/>
        </w:rPr>
      </w:pPr>
      <w:r>
        <w:rPr>
          <w:rFonts w:hint="eastAsia" w:ascii="宋体" w:hAnsi="宋体" w:eastAsia="宋体" w:cs="宋体"/>
          <w:b/>
          <w:color w:val="auto"/>
          <w:sz w:val="32"/>
          <w:szCs w:val="32"/>
          <w:highlight w:val="none"/>
        </w:rPr>
        <w:t>一、磋商响应声明</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(采购人或采购代理机构)：</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我方已仔细研究了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项目名称)的竞争性磋商文件（政府采购编号：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；采购代理编号：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）的全部内容，</w:t>
      </w:r>
      <w:r>
        <w:rPr>
          <w:rFonts w:hint="eastAsia" w:ascii="宋体" w:hAnsi="宋体" w:eastAsia="宋体" w:cs="宋体"/>
          <w:color w:val="auto"/>
          <w:highlight w:val="none"/>
        </w:rPr>
        <w:t>知悉参加竞争性磋商的风险，我方承诺接受磋商文件的全部条款且无任何异议。</w:t>
      </w:r>
    </w:p>
    <w:p>
      <w:pPr>
        <w:pStyle w:val="2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一、我方同意在磋商文件中规定的提交首次响应文件截止时间起</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日内(响应文件有效期)遵守本响应文件中的承诺且在此期限期满之前均具有法律约束力。</w:t>
      </w:r>
    </w:p>
    <w:p>
      <w:pPr>
        <w:pStyle w:val="2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二、我方提交响应文件正本一份和副本一式</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份，并保证响应文件提供的数据和资料全部内容真实、合法、准确和完整，我们对此负责，并愿承担由此引起的法律责任。</w:t>
      </w:r>
    </w:p>
    <w:p>
      <w:pPr>
        <w:pStyle w:val="2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三、我方愿意向贵方提供任何与本项采购有关的数据、情况和技术资料。若贵方需要，我方愿意提供我方作出的一切承诺的证明资料。</w:t>
      </w:r>
    </w:p>
    <w:p>
      <w:pPr>
        <w:pStyle w:val="2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四、我方愿意按磋商文件规定和磋商小组要求重新提交响应文件。</w:t>
      </w:r>
    </w:p>
    <w:p>
      <w:pPr>
        <w:pStyle w:val="2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五、我方承诺遵守《中华人民共和国政府采购法》的有关规定，保证在获得成交资格后，按照磋商文件确定的事项签订政府采购合同，履行双方所签订的合同，并承担合同规定的责任和义务。</w:t>
      </w:r>
    </w:p>
    <w:p>
      <w:pPr>
        <w:pStyle w:val="2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六、我方在此声明： </w:t>
      </w:r>
    </w:p>
    <w:p>
      <w:pPr>
        <w:pStyle w:val="20"/>
        <w:adjustRightInd w:val="0"/>
        <w:snapToGrid w:val="0"/>
        <w:spacing w:line="360" w:lineRule="auto"/>
        <w:ind w:firstLine="420" w:firstLineChars="200"/>
        <w:rPr>
          <w:rFonts w:hint="eastAsia" w:ascii="宋体" w:hAnsi="宋体"/>
          <w:color w:val="auto"/>
          <w:szCs w:val="21"/>
          <w:highlight w:val="none"/>
        </w:rPr>
      </w:pPr>
      <w:r>
        <w:rPr>
          <w:rFonts w:hint="eastAsia" w:hAnsi="宋体"/>
          <w:color w:val="auto"/>
          <w:szCs w:val="21"/>
          <w:highlight w:val="none"/>
          <w:lang w:eastAsia="zh-CN"/>
        </w:rPr>
        <w:t>（</w:t>
      </w:r>
      <w:r>
        <w:rPr>
          <w:rFonts w:hint="eastAsia" w:hAnsi="宋体"/>
          <w:color w:val="auto"/>
          <w:szCs w:val="21"/>
          <w:highlight w:val="none"/>
          <w:lang w:val="en-US" w:eastAsia="zh-CN"/>
        </w:rPr>
        <w:t>一</w:t>
      </w:r>
      <w:r>
        <w:rPr>
          <w:rFonts w:hint="eastAsia" w:hAnsi="宋体"/>
          <w:color w:val="auto"/>
          <w:szCs w:val="21"/>
          <w:highlight w:val="none"/>
          <w:lang w:eastAsia="zh-CN"/>
        </w:rPr>
        <w:t>）</w:t>
      </w:r>
      <w:r>
        <w:rPr>
          <w:rFonts w:hint="eastAsia" w:ascii="宋体" w:hAnsi="宋体"/>
          <w:color w:val="auto"/>
          <w:szCs w:val="21"/>
          <w:highlight w:val="none"/>
        </w:rPr>
        <w:t>具有履行合同所必需的设备和专业技术能力</w:t>
      </w:r>
    </w:p>
    <w:p>
      <w:pPr>
        <w:pStyle w:val="2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hAnsi="宋体" w:cs="宋体"/>
          <w:color w:val="auto"/>
          <w:highlight w:val="none"/>
          <w:lang w:val="en-US" w:eastAsia="zh-CN"/>
        </w:rPr>
        <w:t>二</w:t>
      </w:r>
      <w:r>
        <w:rPr>
          <w:rFonts w:hint="eastAsia" w:ascii="宋体" w:hAnsi="宋体" w:eastAsia="宋体" w:cs="宋体"/>
          <w:color w:val="auto"/>
          <w:highlight w:val="none"/>
        </w:rPr>
        <w:t>）我方与采购人或采购代理机构不存在隶属关系或者其它利害关系。</w:t>
      </w:r>
    </w:p>
    <w:p>
      <w:pPr>
        <w:pStyle w:val="2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hAnsi="宋体" w:cs="宋体"/>
          <w:color w:val="auto"/>
          <w:highlight w:val="none"/>
          <w:lang w:val="en-US" w:eastAsia="zh-CN"/>
        </w:rPr>
        <w:t>三</w:t>
      </w:r>
      <w:r>
        <w:rPr>
          <w:rFonts w:hint="eastAsia" w:ascii="宋体" w:hAnsi="宋体" w:eastAsia="宋体" w:cs="宋体"/>
          <w:color w:val="auto"/>
          <w:highlight w:val="none"/>
        </w:rPr>
        <w:t>）我方与参加本项目的其它供应商不存在直接控股、管理关系，或者与其它供应商法定代表人（或者负责人）为同一人。</w:t>
      </w:r>
    </w:p>
    <w:p>
      <w:pPr>
        <w:pStyle w:val="2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hAnsi="宋体" w:cs="宋体"/>
          <w:color w:val="auto"/>
          <w:highlight w:val="none"/>
          <w:lang w:val="en-US" w:eastAsia="zh-CN"/>
        </w:rPr>
        <w:t>四</w:t>
      </w:r>
      <w:r>
        <w:rPr>
          <w:rFonts w:hint="eastAsia" w:ascii="宋体" w:hAnsi="宋体" w:eastAsia="宋体" w:cs="宋体"/>
          <w:color w:val="auto"/>
          <w:highlight w:val="none"/>
        </w:rPr>
        <w:t>）我方未为本项目前期准备提供设计或咨询服务。</w:t>
      </w:r>
    </w:p>
    <w:p>
      <w:pPr>
        <w:pStyle w:val="2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hAnsi="宋体" w:cs="宋体"/>
          <w:color w:val="auto"/>
          <w:highlight w:val="none"/>
          <w:lang w:val="en-US" w:eastAsia="zh-CN"/>
        </w:rPr>
        <w:t>五</w:t>
      </w:r>
      <w:r>
        <w:rPr>
          <w:rFonts w:hint="eastAsia" w:ascii="宋体" w:hAnsi="宋体" w:eastAsia="宋体" w:cs="宋体"/>
          <w:color w:val="auto"/>
          <w:highlight w:val="none"/>
        </w:rPr>
        <w:t>）我方承诺（承诺期：成立三年以上的，为提交首次响应文件截止时间前三年内；成立不足三年的，为实际时间）：</w:t>
      </w:r>
    </w:p>
    <w:p>
      <w:pPr>
        <w:pStyle w:val="2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eastAsia="宋体" w:cs="宋体"/>
          <w:color w:val="auto"/>
          <w:highlight w:val="none"/>
        </w:rPr>
        <w:t>1、</w:t>
      </w:r>
      <w:r>
        <w:rPr>
          <w:rFonts w:hint="eastAsia" w:ascii="宋体" w:hAnsi="宋体"/>
          <w:color w:val="auto"/>
          <w:szCs w:val="21"/>
          <w:highlight w:val="none"/>
        </w:rPr>
        <w:t>具有良好的商业信誉和健全的财务会计制度</w:t>
      </w:r>
    </w:p>
    <w:p>
      <w:pPr>
        <w:pStyle w:val="20"/>
        <w:adjustRightInd w:val="0"/>
        <w:snapToGrid w:val="0"/>
        <w:spacing w:line="360" w:lineRule="auto"/>
        <w:ind w:firstLine="420" w:firstLineChars="200"/>
        <w:rPr>
          <w:rFonts w:hint="eastAsia" w:ascii="宋体" w:hAnsi="宋体" w:eastAsia="宋体" w:cs="宋体"/>
          <w:color w:val="auto"/>
          <w:highlight w:val="none"/>
        </w:rPr>
      </w:pPr>
      <w:r>
        <w:rPr>
          <w:rFonts w:hint="eastAsia" w:hAnsi="宋体"/>
          <w:color w:val="auto"/>
          <w:szCs w:val="21"/>
          <w:highlight w:val="none"/>
          <w:lang w:val="en-US" w:eastAsia="zh-CN"/>
        </w:rPr>
        <w:t>2、</w:t>
      </w:r>
      <w:r>
        <w:rPr>
          <w:rFonts w:hint="eastAsia" w:ascii="宋体" w:hAnsi="宋体" w:eastAsia="宋体" w:cs="宋体"/>
          <w:color w:val="auto"/>
          <w:highlight w:val="none"/>
        </w:rPr>
        <w:t>我方依法缴纳了各项税费及各项社会保障资金，没有偷税、漏税及欠缴行为。</w:t>
      </w:r>
    </w:p>
    <w:p>
      <w:pPr>
        <w:pStyle w:val="20"/>
        <w:adjustRightInd w:val="0"/>
        <w:snapToGrid w:val="0"/>
        <w:spacing w:line="360" w:lineRule="auto"/>
        <w:ind w:firstLine="420" w:firstLineChars="200"/>
        <w:rPr>
          <w:rFonts w:hint="eastAsia" w:ascii="宋体" w:hAnsi="宋体" w:eastAsia="宋体" w:cs="宋体"/>
          <w:color w:val="auto"/>
          <w:highlight w:val="none"/>
        </w:rPr>
      </w:pPr>
      <w:r>
        <w:rPr>
          <w:rFonts w:hint="eastAsia" w:hAnsi="宋体" w:cs="宋体"/>
          <w:color w:val="auto"/>
          <w:highlight w:val="none"/>
          <w:lang w:val="en-US" w:eastAsia="zh-CN"/>
        </w:rPr>
        <w:t>3</w:t>
      </w:r>
      <w:r>
        <w:rPr>
          <w:rFonts w:hint="eastAsia" w:ascii="宋体" w:hAnsi="宋体" w:eastAsia="宋体" w:cs="宋体"/>
          <w:color w:val="auto"/>
          <w:highlight w:val="none"/>
        </w:rPr>
        <w:t>、我方在经营活动中没有存在下列重大违法记录：</w:t>
      </w:r>
    </w:p>
    <w:p>
      <w:pPr>
        <w:pStyle w:val="2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(1)受到刑事处罚；</w:t>
      </w:r>
    </w:p>
    <w:p>
      <w:pPr>
        <w:pStyle w:val="2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(2)受到三万元以上的罚款、责令停产停业、在一至三年内禁止参加政府采购活动、暂扣或者吊销许可证、暂扣或者吊销执照的行政处罚。</w:t>
      </w:r>
    </w:p>
    <w:p>
      <w:pPr>
        <w:adjustRightInd w:val="0"/>
        <w:snapToGrid w:val="0"/>
        <w:spacing w:line="360" w:lineRule="auto"/>
        <w:ind w:right="24"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附件1：</w:t>
      </w:r>
      <w:r>
        <w:rPr>
          <w:rFonts w:hint="eastAsia" w:ascii="宋体" w:hAnsi="宋体" w:eastAsia="宋体" w:cs="宋体"/>
          <w:color w:val="auto"/>
          <w:szCs w:val="21"/>
          <w:highlight w:val="none"/>
        </w:rPr>
        <w:t>法定代表人身份证明</w:t>
      </w:r>
    </w:p>
    <w:p>
      <w:pPr>
        <w:adjustRightInd w:val="0"/>
        <w:snapToGrid w:val="0"/>
        <w:spacing w:line="360" w:lineRule="auto"/>
        <w:ind w:right="24" w:firstLine="420" w:firstLineChars="200"/>
        <w:rPr>
          <w:rFonts w:hint="eastAsia" w:ascii="宋体" w:hAnsi="宋体" w:eastAsia="宋体" w:cs="宋体"/>
          <w:color w:val="auto"/>
          <w:highlight w:val="none"/>
        </w:rPr>
      </w:pPr>
      <w:r>
        <w:rPr>
          <w:rFonts w:hint="eastAsia" w:ascii="宋体" w:hAnsi="宋体" w:eastAsia="宋体" w:cs="宋体"/>
          <w:bCs/>
          <w:color w:val="auto"/>
          <w:szCs w:val="21"/>
          <w:highlight w:val="none"/>
        </w:rPr>
        <w:t>附件2</w:t>
      </w:r>
      <w:r>
        <w:rPr>
          <w:rFonts w:hint="eastAsia" w:ascii="宋体" w:hAnsi="宋体" w:eastAsia="宋体" w:cs="宋体"/>
          <w:color w:val="auto"/>
          <w:szCs w:val="21"/>
          <w:highlight w:val="none"/>
        </w:rPr>
        <w:t>：法定代表人授权书</w:t>
      </w:r>
    </w:p>
    <w:p>
      <w:pPr>
        <w:pStyle w:val="2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供应商名称(盖单位章)：</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(签字)：</w:t>
      </w:r>
      <w:r>
        <w:rPr>
          <w:rFonts w:hint="eastAsia" w:ascii="宋体" w:hAnsi="宋体" w:eastAsia="宋体" w:cs="宋体"/>
          <w:color w:val="auto"/>
          <w:szCs w:val="21"/>
          <w:highlight w:val="none"/>
          <w:u w:val="single"/>
        </w:rPr>
        <w:t xml:space="preserve">            </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br w:type="page"/>
      </w:r>
    </w:p>
    <w:p>
      <w:pPr>
        <w:adjustRightInd w:val="0"/>
        <w:snapToGrid w:val="0"/>
        <w:spacing w:line="360" w:lineRule="auto"/>
        <w:ind w:right="24"/>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附件1</w:t>
      </w:r>
    </w:p>
    <w:p>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法定代表人身份证明</w:t>
      </w:r>
    </w:p>
    <w:p>
      <w:pPr>
        <w:snapToGrid w:val="0"/>
        <w:spacing w:line="480" w:lineRule="auto"/>
        <w:rPr>
          <w:rFonts w:hint="eastAsia" w:ascii="宋体" w:hAnsi="宋体" w:eastAsia="宋体" w:cs="宋体"/>
          <w:color w:val="auto"/>
          <w:szCs w:val="21"/>
          <w:highlight w:val="none"/>
        </w:rPr>
      </w:pPr>
    </w:p>
    <w:p>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注册号：</w:t>
      </w:r>
      <w:r>
        <w:rPr>
          <w:rFonts w:hint="eastAsia" w:ascii="宋体" w:hAnsi="宋体" w:eastAsia="宋体" w:cs="宋体"/>
          <w:color w:val="auto"/>
          <w:kern w:val="0"/>
          <w:szCs w:val="21"/>
          <w:highlight w:val="none"/>
          <w:u w:val="single"/>
        </w:rPr>
        <w:t xml:space="preserve">                  </w:t>
      </w:r>
    </w:p>
    <w:p>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注册地址：</w:t>
      </w:r>
      <w:r>
        <w:rPr>
          <w:rFonts w:hint="eastAsia" w:ascii="宋体" w:hAnsi="宋体" w:eastAsia="宋体" w:cs="宋体"/>
          <w:color w:val="auto"/>
          <w:kern w:val="0"/>
          <w:szCs w:val="21"/>
          <w:highlight w:val="none"/>
          <w:u w:val="single"/>
        </w:rPr>
        <w:t xml:space="preserve">                                    </w:t>
      </w:r>
    </w:p>
    <w:p>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成立时间：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年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日</w:t>
      </w:r>
    </w:p>
    <w:p>
      <w:pPr>
        <w:autoSpaceDE w:val="0"/>
        <w:autoSpaceDN w:val="0"/>
        <w:adjustRightInd w:val="0"/>
        <w:snapToGri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经营期限：</w:t>
      </w:r>
      <w:r>
        <w:rPr>
          <w:rFonts w:hint="eastAsia" w:ascii="宋体" w:hAnsi="宋体" w:eastAsia="宋体" w:cs="宋体"/>
          <w:color w:val="auto"/>
          <w:kern w:val="0"/>
          <w:szCs w:val="21"/>
          <w:highlight w:val="none"/>
          <w:u w:val="single"/>
        </w:rPr>
        <w:t xml:space="preserve">                  </w:t>
      </w:r>
    </w:p>
    <w:p>
      <w:pPr>
        <w:autoSpaceDE w:val="0"/>
        <w:autoSpaceDN w:val="0"/>
        <w:adjustRightInd w:val="0"/>
        <w:snapToGri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经营范围：主营：</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；兼营：</w:t>
      </w:r>
      <w:r>
        <w:rPr>
          <w:rFonts w:hint="eastAsia" w:ascii="宋体" w:hAnsi="宋体" w:eastAsia="宋体" w:cs="宋体"/>
          <w:color w:val="auto"/>
          <w:kern w:val="0"/>
          <w:szCs w:val="21"/>
          <w:highlight w:val="none"/>
          <w:u w:val="single"/>
        </w:rPr>
        <w:t xml:space="preserve">              </w:t>
      </w:r>
    </w:p>
    <w:p>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性别：</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名称）的法定代表人。</w:t>
      </w:r>
    </w:p>
    <w:p>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附：法定代表人身份证复印件</w:t>
      </w:r>
    </w:p>
    <w:p>
      <w:pPr>
        <w:snapToGrid w:val="0"/>
        <w:spacing w:line="480" w:lineRule="auto"/>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供应商名称（盖单位章）：</w:t>
      </w:r>
    </w:p>
    <w:p>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日      </w:t>
      </w: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br w:type="page"/>
      </w:r>
    </w:p>
    <w:p>
      <w:pPr>
        <w:adjustRightInd w:val="0"/>
        <w:snapToGrid w:val="0"/>
        <w:spacing w:before="156" w:beforeLines="50" w:line="360" w:lineRule="auto"/>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附件2</w:t>
      </w:r>
    </w:p>
    <w:p>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法定代表人授权委托书</w:t>
      </w:r>
    </w:p>
    <w:p>
      <w:pPr>
        <w:adjustRightInd w:val="0"/>
        <w:snapToGrid w:val="0"/>
        <w:spacing w:line="360" w:lineRule="auto"/>
        <w:jc w:val="center"/>
        <w:rPr>
          <w:rFonts w:hint="eastAsia" w:ascii="宋体" w:hAnsi="宋体" w:eastAsia="宋体" w:cs="宋体"/>
          <w:b/>
          <w:color w:val="auto"/>
          <w:sz w:val="28"/>
          <w:szCs w:val="28"/>
          <w:highlight w:val="none"/>
        </w:rPr>
      </w:pPr>
    </w:p>
    <w:p>
      <w:pPr>
        <w:autoSpaceDE w:val="0"/>
        <w:autoSpaceDN w:val="0"/>
        <w:adjustRightInd w:val="0"/>
        <w:snapToGrid w:val="0"/>
        <w:spacing w:before="156" w:before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（姓名、职务）系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名称）的法定代表人，现授权</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（姓名、职务）为我方代理人。代理人根据授权，以我方名义：(1)签署、澄清、补正、修改、撤回、提交</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szCs w:val="21"/>
          <w:highlight w:val="none"/>
        </w:rPr>
        <w:t>政府</w:t>
      </w:r>
      <w:r>
        <w:rPr>
          <w:rFonts w:hint="eastAsia" w:ascii="宋体" w:hAnsi="宋体" w:eastAsia="宋体" w:cs="宋体"/>
          <w:color w:val="auto"/>
          <w:kern w:val="0"/>
          <w:szCs w:val="21"/>
          <w:highlight w:val="none"/>
        </w:rPr>
        <w:t>采购编号、采购代理机构编号）响应文件；(2)签署并重新提交响应文件及最后报价；(3)退出磋商；(4)签订合同和处理有关事宜，其法律后果由我方承担；（5）询问、质疑、投诉等相关事项，其法律后果由我方承担。</w:t>
      </w:r>
    </w:p>
    <w:p>
      <w:pPr>
        <w:autoSpaceDE w:val="0"/>
        <w:autoSpaceDN w:val="0"/>
        <w:adjustRightInd w:val="0"/>
        <w:snapToGrid w:val="0"/>
        <w:spacing w:before="156" w:before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委托期限：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pPr>
        <w:spacing w:line="360" w:lineRule="auto"/>
        <w:ind w:firstLine="43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日签字生效，特此声明。</w:t>
      </w:r>
    </w:p>
    <w:p>
      <w:pPr>
        <w:adjustRightInd w:val="0"/>
        <w:snapToGrid w:val="0"/>
        <w:spacing w:before="156"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附：委托代理人身份证复印件及法定代表人身份证明(附件1，原件)</w:t>
      </w: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w:t>
      </w:r>
      <w:r>
        <w:rPr>
          <w:rFonts w:hint="eastAsia" w:ascii="宋体" w:hAnsi="宋体" w:eastAsia="宋体" w:cs="宋体"/>
          <w:color w:val="auto"/>
          <w:szCs w:val="21"/>
          <w:highlight w:val="none"/>
          <w:u w:val="single"/>
        </w:rPr>
        <w:t xml:space="preserve">                     </w:t>
      </w:r>
    </w:p>
    <w:p>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w:t>
      </w:r>
      <w:r>
        <w:rPr>
          <w:rFonts w:hint="eastAsia" w:ascii="宋体" w:hAnsi="宋体" w:eastAsia="宋体" w:cs="宋体"/>
          <w:color w:val="auto"/>
          <w:szCs w:val="21"/>
          <w:highlight w:val="none"/>
          <w:u w:val="single"/>
        </w:rPr>
        <w:t xml:space="preserve">                     </w:t>
      </w:r>
    </w:p>
    <w:p>
      <w:pPr>
        <w:adjustRightInd w:val="0"/>
        <w:snapToGrid w:val="0"/>
        <w:spacing w:line="360" w:lineRule="auto"/>
        <w:ind w:right="24"/>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color w:val="auto"/>
          <w:highlight w:val="none"/>
        </w:rPr>
      </w:pPr>
    </w:p>
    <w:p>
      <w:pPr>
        <w:bidi w:val="0"/>
        <w:rPr>
          <w:rFonts w:hint="eastAsia"/>
          <w:color w:val="auto"/>
          <w:highlight w:val="none"/>
        </w:rPr>
      </w:pPr>
    </w:p>
    <w:p>
      <w:pPr>
        <w:rPr>
          <w:rFonts w:hint="eastAsia" w:ascii="宋体" w:hAnsi="宋体" w:cs="宋体"/>
          <w:b/>
          <w:color w:val="auto"/>
          <w:sz w:val="32"/>
          <w:szCs w:val="32"/>
          <w:highlight w:val="none"/>
          <w:lang w:val="en-US" w:eastAsia="zh-CN"/>
        </w:rPr>
      </w:pPr>
      <w:r>
        <w:rPr>
          <w:rFonts w:hint="eastAsia" w:ascii="宋体" w:hAnsi="宋体" w:eastAsia="宋体" w:cs="宋体"/>
          <w:b/>
          <w:color w:val="auto"/>
          <w:sz w:val="32"/>
          <w:szCs w:val="32"/>
          <w:highlight w:val="none"/>
        </w:rPr>
        <w:br w:type="page"/>
      </w:r>
    </w:p>
    <w:p>
      <w:pPr>
        <w:adjustRightInd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cs="宋体"/>
          <w:b/>
          <w:color w:val="auto"/>
          <w:sz w:val="32"/>
          <w:szCs w:val="32"/>
          <w:highlight w:val="none"/>
          <w:lang w:val="en-US" w:eastAsia="zh-CN"/>
        </w:rPr>
        <w:t>二</w:t>
      </w:r>
      <w:r>
        <w:rPr>
          <w:rFonts w:hint="eastAsia" w:ascii="宋体" w:hAnsi="宋体" w:eastAsia="宋体" w:cs="宋体"/>
          <w:b/>
          <w:color w:val="auto"/>
          <w:sz w:val="32"/>
          <w:szCs w:val="32"/>
          <w:highlight w:val="none"/>
        </w:rPr>
        <w:t>、供应商</w:t>
      </w:r>
      <w:r>
        <w:rPr>
          <w:rFonts w:hint="eastAsia" w:ascii="宋体" w:hAnsi="宋体" w:eastAsia="宋体" w:cs="宋体"/>
          <w:b/>
          <w:bCs/>
          <w:color w:val="auto"/>
          <w:sz w:val="32"/>
          <w:szCs w:val="32"/>
          <w:highlight w:val="none"/>
        </w:rPr>
        <w:t>的资格证明资料</w:t>
      </w:r>
    </w:p>
    <w:p>
      <w:pPr>
        <w:spacing w:line="480" w:lineRule="exac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附件</w:t>
      </w:r>
      <w:r>
        <w:rPr>
          <w:rFonts w:hint="eastAsia" w:ascii="宋体" w:hAnsi="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 xml:space="preserve">              供应商基本情况表</w:t>
      </w:r>
    </w:p>
    <w:p>
      <w:pPr>
        <w:spacing w:line="480" w:lineRule="exact"/>
        <w:rPr>
          <w:rFonts w:hint="eastAsia" w:ascii="宋体" w:hAnsi="宋体" w:eastAsia="宋体" w:cs="宋体"/>
          <w:color w:val="auto"/>
          <w:sz w:val="30"/>
          <w:szCs w:val="30"/>
          <w:highlight w:val="none"/>
        </w:rPr>
      </w:pP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盖供应商单位章</w:t>
      </w:r>
    </w:p>
    <w:tbl>
      <w:tblPr>
        <w:tblStyle w:val="32"/>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3960" w:type="dxa"/>
            <w:gridSpan w:val="5"/>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1911"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396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911"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p>
        </w:tc>
        <w:tc>
          <w:tcPr>
            <w:tcW w:w="396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911"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上年营业收入</w:t>
            </w:r>
          </w:p>
        </w:tc>
        <w:tc>
          <w:tcPr>
            <w:tcW w:w="396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c>
          <w:tcPr>
            <w:tcW w:w="1911"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注册号码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发证日期</w:t>
            </w: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营业范围（主营）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营业范围（兼营）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税务登记机关</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562" w:type="dxa"/>
            <w:gridSpan w:val="8"/>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附《法人登记证书》或《企业法人营业执照》（副本）复印件</w:t>
            </w:r>
          </w:p>
        </w:tc>
      </w:tr>
    </w:tbl>
    <w:p>
      <w:pPr>
        <w:spacing w:line="480" w:lineRule="exact"/>
        <w:rPr>
          <w:rFonts w:hint="eastAsia" w:ascii="宋体" w:hAnsi="宋体" w:eastAsia="宋体" w:cs="宋体"/>
          <w:color w:val="auto"/>
          <w:sz w:val="30"/>
          <w:szCs w:val="30"/>
          <w:highlight w:val="none"/>
        </w:rPr>
      </w:pPr>
    </w:p>
    <w:p>
      <w:pPr>
        <w:bidi w:val="0"/>
        <w:rPr>
          <w:rFonts w:hint="eastAsia"/>
          <w:color w:val="auto"/>
          <w:highlight w:val="none"/>
        </w:rPr>
      </w:pPr>
    </w:p>
    <w:p>
      <w:pPr>
        <w:spacing w:line="480" w:lineRule="exac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附件</w:t>
      </w:r>
      <w:r>
        <w:rPr>
          <w:rFonts w:hint="eastAsia" w:ascii="宋体" w:hAnsi="宋体" w:cs="宋体"/>
          <w:b/>
          <w:bCs/>
          <w:color w:val="auto"/>
          <w:sz w:val="30"/>
          <w:szCs w:val="30"/>
          <w:highlight w:val="none"/>
          <w:lang w:val="en-US" w:eastAsia="zh-CN"/>
        </w:rPr>
        <w:t>4</w:t>
      </w:r>
      <w:r>
        <w:rPr>
          <w:rFonts w:hint="eastAsia" w:ascii="宋体" w:hAnsi="宋体" w:eastAsia="宋体" w:cs="宋体"/>
          <w:b/>
          <w:bCs/>
          <w:color w:val="auto"/>
          <w:sz w:val="30"/>
          <w:szCs w:val="30"/>
          <w:highlight w:val="none"/>
        </w:rPr>
        <w:t xml:space="preserve">     磋商文件规定的基本资格条件证明资料</w:t>
      </w:r>
    </w:p>
    <w:p>
      <w:pPr>
        <w:spacing w:line="480" w:lineRule="exact"/>
        <w:rPr>
          <w:rFonts w:hint="eastAsia" w:ascii="宋体" w:hAnsi="宋体" w:eastAsia="宋体" w:cs="宋体"/>
          <w:color w:val="auto"/>
          <w:szCs w:val="21"/>
          <w:highlight w:val="none"/>
        </w:rPr>
      </w:pPr>
    </w:p>
    <w:p>
      <w:pPr>
        <w:keepNext w:val="0"/>
        <w:keepLines w:val="0"/>
        <w:pageBreakBefore w:val="0"/>
        <w:widowControl w:val="0"/>
        <w:kinsoku/>
        <w:overflowPunct/>
        <w:topLinePunct w:val="0"/>
        <w:autoSpaceDE/>
        <w:autoSpaceDN/>
        <w:bidi w:val="0"/>
        <w:adjustRightInd w:val="0"/>
        <w:snapToGrid w:val="0"/>
        <w:spacing w:line="360" w:lineRule="exact"/>
        <w:jc w:val="left"/>
        <w:textAlignment w:val="auto"/>
        <w:outlineLvl w:val="9"/>
        <w:rPr>
          <w:rFonts w:ascii="宋体" w:hAnsi="宋体"/>
          <w:color w:val="auto"/>
          <w:sz w:val="21"/>
          <w:szCs w:val="21"/>
          <w:highlight w:val="none"/>
        </w:rPr>
      </w:pPr>
      <w:r>
        <w:rPr>
          <w:rFonts w:hint="eastAsia" w:ascii="宋体" w:hAnsi="宋体"/>
          <w:color w:val="auto"/>
          <w:sz w:val="21"/>
          <w:szCs w:val="21"/>
          <w:highlight w:val="none"/>
        </w:rPr>
        <w:t>（1）法人提交企业法人营业执照副本(或者法人登记证书)以及组织机构代码证副本复印件；</w:t>
      </w:r>
    </w:p>
    <w:p>
      <w:pPr>
        <w:keepNext w:val="0"/>
        <w:keepLines w:val="0"/>
        <w:pageBreakBefore w:val="0"/>
        <w:widowControl w:val="0"/>
        <w:kinsoku/>
        <w:wordWrap w:val="0"/>
        <w:overflowPunct/>
        <w:topLinePunct w:val="0"/>
        <w:autoSpaceDE/>
        <w:autoSpaceDN/>
        <w:bidi w:val="0"/>
        <w:adjustRightInd w:val="0"/>
        <w:snapToGrid w:val="0"/>
        <w:spacing w:line="460" w:lineRule="exact"/>
        <w:textAlignment w:val="auto"/>
        <w:outlineLvl w:val="9"/>
        <w:rPr>
          <w:rFonts w:hint="eastAsia" w:ascii="宋体" w:hAnsi="宋体"/>
          <w:color w:val="auto"/>
          <w:szCs w:val="21"/>
          <w:highlight w:val="none"/>
        </w:rPr>
      </w:pPr>
      <w:r>
        <w:rPr>
          <w:rFonts w:hint="eastAsia" w:ascii="宋体" w:hAnsi="宋体"/>
          <w:color w:val="auto"/>
          <w:szCs w:val="21"/>
          <w:highlight w:val="none"/>
        </w:rPr>
        <w:t>（2）具有良好的商业信誉和健全的财务会计制度</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在</w:t>
      </w:r>
      <w:r>
        <w:rPr>
          <w:rFonts w:hint="eastAsia" w:ascii="宋体" w:hAnsi="宋体"/>
          <w:color w:val="auto"/>
          <w:szCs w:val="21"/>
          <w:highlight w:val="none"/>
        </w:rPr>
        <w:t>磋商响应声明</w:t>
      </w:r>
      <w:r>
        <w:rPr>
          <w:rFonts w:hint="eastAsia" w:ascii="宋体" w:hAnsi="宋体"/>
          <w:color w:val="auto"/>
          <w:szCs w:val="21"/>
          <w:highlight w:val="none"/>
          <w:lang w:val="en-US" w:eastAsia="zh-CN"/>
        </w:rPr>
        <w:t>中承诺</w:t>
      </w:r>
      <w:r>
        <w:rPr>
          <w:rFonts w:hint="eastAsia" w:ascii="宋体" w:hAnsi="宋体"/>
          <w:color w:val="auto"/>
          <w:szCs w:val="21"/>
          <w:highlight w:val="none"/>
          <w:lang w:eastAsia="zh-CN"/>
        </w:rPr>
        <w:t>）</w:t>
      </w:r>
      <w:r>
        <w:rPr>
          <w:rFonts w:hint="eastAsia" w:ascii="宋体" w:hAnsi="宋体"/>
          <w:color w:val="auto"/>
          <w:szCs w:val="21"/>
          <w:highlight w:val="none"/>
        </w:rPr>
        <w:t>；</w:t>
      </w:r>
    </w:p>
    <w:p>
      <w:pPr>
        <w:keepNext w:val="0"/>
        <w:keepLines w:val="0"/>
        <w:pageBreakBefore w:val="0"/>
        <w:widowControl w:val="0"/>
        <w:kinsoku/>
        <w:wordWrap w:val="0"/>
        <w:overflowPunct/>
        <w:topLinePunct w:val="0"/>
        <w:autoSpaceDE/>
        <w:autoSpaceDN/>
        <w:bidi w:val="0"/>
        <w:adjustRightInd w:val="0"/>
        <w:snapToGrid w:val="0"/>
        <w:spacing w:line="460" w:lineRule="exact"/>
        <w:textAlignment w:val="auto"/>
        <w:outlineLvl w:val="9"/>
        <w:rPr>
          <w:rFonts w:ascii="宋体" w:hAnsi="宋体"/>
          <w:color w:val="auto"/>
          <w:szCs w:val="21"/>
          <w:highlight w:val="none"/>
        </w:rPr>
      </w:pPr>
      <w:r>
        <w:rPr>
          <w:rFonts w:hint="eastAsia" w:ascii="宋体" w:hAnsi="宋体"/>
          <w:color w:val="auto"/>
          <w:szCs w:val="21"/>
          <w:highlight w:val="none"/>
        </w:rPr>
        <w:t>（3）具有履行合同所必需的设备和专业技术能力</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在</w:t>
      </w:r>
      <w:r>
        <w:rPr>
          <w:rFonts w:hint="eastAsia" w:ascii="宋体" w:hAnsi="宋体"/>
          <w:color w:val="auto"/>
          <w:szCs w:val="21"/>
          <w:highlight w:val="none"/>
        </w:rPr>
        <w:t>磋商响应声明</w:t>
      </w:r>
      <w:r>
        <w:rPr>
          <w:rFonts w:hint="eastAsia" w:ascii="宋体" w:hAnsi="宋体"/>
          <w:color w:val="auto"/>
          <w:szCs w:val="21"/>
          <w:highlight w:val="none"/>
          <w:lang w:val="en-US" w:eastAsia="zh-CN"/>
        </w:rPr>
        <w:t>中承诺</w:t>
      </w:r>
      <w:r>
        <w:rPr>
          <w:rFonts w:hint="eastAsia" w:ascii="宋体" w:hAnsi="宋体"/>
          <w:color w:val="auto"/>
          <w:szCs w:val="21"/>
          <w:highlight w:val="none"/>
          <w:lang w:eastAsia="zh-CN"/>
        </w:rPr>
        <w:t>）</w:t>
      </w:r>
      <w:r>
        <w:rPr>
          <w:rFonts w:hint="eastAsia" w:ascii="宋体" w:hAnsi="宋体"/>
          <w:color w:val="auto"/>
          <w:szCs w:val="21"/>
          <w:highlight w:val="none"/>
        </w:rPr>
        <w:t>；</w:t>
      </w:r>
    </w:p>
    <w:p>
      <w:pPr>
        <w:keepNext w:val="0"/>
        <w:keepLines w:val="0"/>
        <w:pageBreakBefore w:val="0"/>
        <w:widowControl w:val="0"/>
        <w:kinsoku/>
        <w:wordWrap w:val="0"/>
        <w:overflowPunct/>
        <w:topLinePunct w:val="0"/>
        <w:autoSpaceDE/>
        <w:autoSpaceDN/>
        <w:bidi w:val="0"/>
        <w:adjustRightInd w:val="0"/>
        <w:snapToGrid w:val="0"/>
        <w:spacing w:line="460" w:lineRule="exact"/>
        <w:textAlignment w:val="auto"/>
        <w:outlineLvl w:val="9"/>
        <w:rPr>
          <w:rFonts w:ascii="宋体" w:hAnsi="宋体"/>
          <w:color w:val="auto"/>
          <w:szCs w:val="21"/>
          <w:highlight w:val="none"/>
        </w:rPr>
      </w:pPr>
      <w:r>
        <w:rPr>
          <w:rFonts w:hint="eastAsia" w:ascii="宋体" w:hAnsi="宋体"/>
          <w:color w:val="auto"/>
          <w:szCs w:val="21"/>
          <w:highlight w:val="none"/>
        </w:rPr>
        <w:t>（4）有依法缴纳税收和社会保障资金的良好记录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在</w:t>
      </w:r>
      <w:r>
        <w:rPr>
          <w:rFonts w:hint="eastAsia" w:ascii="宋体" w:hAnsi="宋体"/>
          <w:color w:val="auto"/>
          <w:szCs w:val="21"/>
          <w:highlight w:val="none"/>
        </w:rPr>
        <w:t>磋商响应声明</w:t>
      </w:r>
      <w:r>
        <w:rPr>
          <w:rFonts w:hint="eastAsia" w:ascii="宋体" w:hAnsi="宋体"/>
          <w:color w:val="auto"/>
          <w:szCs w:val="21"/>
          <w:highlight w:val="none"/>
          <w:lang w:val="en-US" w:eastAsia="zh-CN"/>
        </w:rPr>
        <w:t>中承诺</w:t>
      </w:r>
      <w:r>
        <w:rPr>
          <w:rFonts w:hint="eastAsia" w:ascii="宋体" w:hAnsi="宋体"/>
          <w:color w:val="auto"/>
          <w:szCs w:val="21"/>
          <w:highlight w:val="none"/>
          <w:lang w:eastAsia="zh-CN"/>
        </w:rPr>
        <w:t>）</w:t>
      </w:r>
      <w:r>
        <w:rPr>
          <w:rFonts w:hint="eastAsia" w:ascii="宋体" w:hAnsi="宋体"/>
          <w:color w:val="auto"/>
          <w:szCs w:val="21"/>
          <w:highlight w:val="none"/>
        </w:rPr>
        <w:t>；</w:t>
      </w:r>
    </w:p>
    <w:p>
      <w:pPr>
        <w:keepNext w:val="0"/>
        <w:keepLines w:val="0"/>
        <w:pageBreakBefore w:val="0"/>
        <w:widowControl w:val="0"/>
        <w:kinsoku/>
        <w:overflowPunct/>
        <w:topLinePunct w:val="0"/>
        <w:autoSpaceDE/>
        <w:autoSpaceDN/>
        <w:bidi w:val="0"/>
        <w:adjustRightInd w:val="0"/>
        <w:snapToGrid w:val="0"/>
        <w:spacing w:line="360" w:lineRule="exact"/>
        <w:jc w:val="left"/>
        <w:textAlignment w:val="auto"/>
        <w:outlineLvl w:val="9"/>
        <w:rPr>
          <w:rFonts w:hint="eastAsia" w:ascii="宋体" w:hAnsi="宋体"/>
          <w:color w:val="auto"/>
          <w:szCs w:val="21"/>
          <w:highlight w:val="none"/>
        </w:rPr>
      </w:pPr>
      <w:r>
        <w:rPr>
          <w:rFonts w:hint="eastAsia" w:ascii="宋体" w:hAnsi="宋体"/>
          <w:color w:val="auto"/>
          <w:szCs w:val="21"/>
          <w:highlight w:val="none"/>
        </w:rPr>
        <w:t>（5）参加政府采购活动前三年内，在经营活动中没有重大违法记录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企业的在</w:t>
      </w:r>
      <w:r>
        <w:rPr>
          <w:rFonts w:hint="eastAsia" w:ascii="宋体" w:hAnsi="宋体"/>
          <w:color w:val="auto"/>
          <w:szCs w:val="21"/>
          <w:highlight w:val="none"/>
        </w:rPr>
        <w:t>磋商响应声明</w:t>
      </w:r>
      <w:r>
        <w:rPr>
          <w:rFonts w:hint="eastAsia" w:ascii="宋体" w:hAnsi="宋体"/>
          <w:color w:val="auto"/>
          <w:szCs w:val="21"/>
          <w:highlight w:val="none"/>
          <w:lang w:val="en-US" w:eastAsia="zh-CN"/>
        </w:rPr>
        <w:t>中承诺</w:t>
      </w:r>
      <w:r>
        <w:rPr>
          <w:rFonts w:hint="eastAsia" w:ascii="宋体" w:hAnsi="宋体"/>
          <w:color w:val="auto"/>
          <w:szCs w:val="21"/>
          <w:highlight w:val="none"/>
          <w:lang w:eastAsia="zh-CN"/>
        </w:rPr>
        <w:t>）</w:t>
      </w:r>
      <w:r>
        <w:rPr>
          <w:rFonts w:hint="eastAsia" w:ascii="宋体" w:hAnsi="宋体"/>
          <w:color w:val="auto"/>
          <w:szCs w:val="21"/>
          <w:highlight w:val="none"/>
        </w:rPr>
        <w:t>；</w:t>
      </w:r>
    </w:p>
    <w:p>
      <w:pPr>
        <w:keepNext w:val="0"/>
        <w:keepLines w:val="0"/>
        <w:pageBreakBefore w:val="0"/>
        <w:widowControl w:val="0"/>
        <w:kinsoku/>
        <w:overflowPunct/>
        <w:topLinePunct w:val="0"/>
        <w:autoSpaceDE/>
        <w:autoSpaceDN/>
        <w:bidi w:val="0"/>
        <w:adjustRightInd w:val="0"/>
        <w:snapToGrid w:val="0"/>
        <w:spacing w:line="360" w:lineRule="exact"/>
        <w:jc w:val="left"/>
        <w:textAlignment w:val="auto"/>
        <w:outlineLvl w:val="9"/>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）法律、行政法规规定的其他条件。</w:t>
      </w: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r>
        <w:rPr>
          <w:rFonts w:hint="eastAsia"/>
          <w:color w:val="auto"/>
          <w:highlight w:val="none"/>
        </w:rPr>
        <w:br w:type="page"/>
      </w:r>
    </w:p>
    <w:p>
      <w:pPr>
        <w:adjustRightInd w:val="0"/>
        <w:snapToGrid w:val="0"/>
        <w:spacing w:line="360" w:lineRule="auto"/>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参加政府采购活动前三年内在经营活动中没有重大违法记录的</w:t>
      </w:r>
    </w:p>
    <w:p>
      <w:pPr>
        <w:adjustRightInd w:val="0"/>
        <w:snapToGrid w:val="0"/>
        <w:spacing w:line="360" w:lineRule="auto"/>
        <w:jc w:val="center"/>
        <w:rPr>
          <w:rFonts w:ascii="黑体" w:hAnsi="宋体" w:eastAsia="黑体"/>
          <w:color w:val="auto"/>
          <w:sz w:val="28"/>
          <w:szCs w:val="28"/>
          <w:highlight w:val="none"/>
        </w:rPr>
      </w:pPr>
      <w:r>
        <w:rPr>
          <w:rFonts w:hint="eastAsia" w:ascii="黑体" w:hAnsi="宋体" w:eastAsia="黑体"/>
          <w:color w:val="auto"/>
          <w:sz w:val="28"/>
          <w:szCs w:val="28"/>
          <w:highlight w:val="none"/>
        </w:rPr>
        <w:t>书面声明</w:t>
      </w:r>
    </w:p>
    <w:p>
      <w:pPr>
        <w:adjustRightInd w:val="0"/>
        <w:snapToGrid w:val="0"/>
        <w:spacing w:before="156" w:beforeLines="50" w:line="360" w:lineRule="auto"/>
        <w:outlineLvl w:val="9"/>
        <w:rPr>
          <w:rFonts w:ascii="宋体" w:hAnsi="宋体"/>
          <w:color w:val="auto"/>
          <w:sz w:val="24"/>
          <w:highlight w:val="none"/>
        </w:rPr>
      </w:pPr>
    </w:p>
    <w:p>
      <w:pPr>
        <w:adjustRightInd w:val="0"/>
        <w:snapToGrid w:val="0"/>
        <w:spacing w:before="156" w:beforeLines="50" w:line="360" w:lineRule="auto"/>
        <w:ind w:left="-88" w:leftChars="-42"/>
        <w:outlineLvl w:val="9"/>
        <w:rPr>
          <w:rFonts w:ascii="宋体" w:hAnsi="宋体"/>
          <w:color w:val="auto"/>
          <w:szCs w:val="21"/>
          <w:highlight w:val="none"/>
        </w:rPr>
      </w:pPr>
      <w:bookmarkStart w:id="19" w:name="_Toc26986"/>
      <w:r>
        <w:rPr>
          <w:rFonts w:hint="eastAsia" w:ascii="宋体" w:hAnsi="宋体"/>
          <w:color w:val="auto"/>
          <w:szCs w:val="21"/>
          <w:highlight w:val="none"/>
        </w:rPr>
        <w:t>致</w:t>
      </w:r>
      <w:r>
        <w:rPr>
          <w:rFonts w:hint="eastAsia" w:ascii="宋体" w:hAnsi="宋体"/>
          <w:color w:val="auto"/>
          <w:szCs w:val="21"/>
          <w:highlight w:val="none"/>
          <w:u w:val="single"/>
          <w:lang w:eastAsia="zh-CN"/>
        </w:rPr>
        <w:t>湘能卓信项目管理有限公司</w:t>
      </w:r>
      <w:r>
        <w:rPr>
          <w:rFonts w:hint="eastAsia" w:ascii="宋体" w:hAnsi="宋体"/>
          <w:color w:val="auto"/>
          <w:szCs w:val="21"/>
          <w:highlight w:val="none"/>
        </w:rPr>
        <w:t>(采购代理机构)：</w:t>
      </w:r>
      <w:bookmarkEnd w:id="19"/>
    </w:p>
    <w:p>
      <w:pPr>
        <w:adjustRightInd w:val="0"/>
        <w:snapToGrid w:val="0"/>
        <w:spacing w:before="156" w:beforeLines="50" w:line="360" w:lineRule="auto"/>
        <w:ind w:left="-88" w:leftChars="-42"/>
        <w:rPr>
          <w:rFonts w:ascii="宋体" w:hAnsi="宋体"/>
          <w:color w:val="auto"/>
          <w:szCs w:val="21"/>
          <w:highlight w:val="none"/>
        </w:rPr>
      </w:pPr>
    </w:p>
    <w:p>
      <w:pPr>
        <w:widowControl/>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bCs/>
          <w:color w:val="auto"/>
          <w:szCs w:val="21"/>
          <w:highlight w:val="none"/>
        </w:rPr>
        <w:t>我单位在</w:t>
      </w:r>
      <w:r>
        <w:rPr>
          <w:rFonts w:hint="eastAsia" w:ascii="宋体" w:hAnsi="宋体"/>
          <w:color w:val="auto"/>
          <w:szCs w:val="21"/>
          <w:highlight w:val="none"/>
        </w:rPr>
        <w:t>参加采购活动前三年内在经营活动中没有政府采购法第二十二条第一款第（五）项所称重大违法记录，包括：</w:t>
      </w:r>
    </w:p>
    <w:p>
      <w:pPr>
        <w:widowControl/>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（一）</w:t>
      </w:r>
      <w:r>
        <w:rPr>
          <w:rFonts w:hint="eastAsia" w:ascii="宋体" w:hAnsi="宋体"/>
          <w:bCs/>
          <w:color w:val="auto"/>
          <w:szCs w:val="21"/>
          <w:highlight w:val="none"/>
        </w:rPr>
        <w:t>我单位</w:t>
      </w:r>
      <w:r>
        <w:rPr>
          <w:rFonts w:hint="eastAsia" w:ascii="宋体" w:hAnsi="宋体"/>
          <w:color w:val="auto"/>
          <w:szCs w:val="21"/>
          <w:highlight w:val="none"/>
        </w:rPr>
        <w:t>或者其法定代表人、董事、监事、高级管理人员因经营活动中的违法行为受到行政处罚，但警告和罚款额在三万元以下的行政处罚除外；</w:t>
      </w:r>
    </w:p>
    <w:p>
      <w:pPr>
        <w:widowControl/>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（二）</w:t>
      </w:r>
      <w:r>
        <w:rPr>
          <w:rFonts w:hint="eastAsia" w:ascii="宋体" w:hAnsi="宋体"/>
          <w:bCs/>
          <w:color w:val="auto"/>
          <w:szCs w:val="21"/>
          <w:highlight w:val="none"/>
        </w:rPr>
        <w:t>我单位</w:t>
      </w:r>
      <w:r>
        <w:rPr>
          <w:rFonts w:hint="eastAsia" w:ascii="宋体" w:hAnsi="宋体"/>
          <w:color w:val="auto"/>
          <w:szCs w:val="21"/>
          <w:highlight w:val="none"/>
        </w:rPr>
        <w:t>或者其法定代表人、董事、监事、高级管理人员因经营活动中的违法行为受到刑事处罚。</w:t>
      </w:r>
    </w:p>
    <w:p>
      <w:pPr>
        <w:widowControl/>
        <w:adjustRightInd w:val="0"/>
        <w:snapToGrid w:val="0"/>
        <w:spacing w:before="156" w:beforeLines="50" w:line="360" w:lineRule="auto"/>
        <w:ind w:firstLine="200"/>
        <w:rPr>
          <w:rFonts w:ascii="宋体" w:hAnsi="宋体"/>
          <w:color w:val="auto"/>
          <w:szCs w:val="21"/>
          <w:highlight w:val="none"/>
        </w:rPr>
      </w:pPr>
      <w:r>
        <w:rPr>
          <w:rFonts w:hint="eastAsia" w:ascii="宋体" w:hAnsi="宋体"/>
          <w:color w:val="auto"/>
          <w:szCs w:val="21"/>
          <w:highlight w:val="none"/>
        </w:rPr>
        <w:t>特此声明！</w:t>
      </w:r>
    </w:p>
    <w:p>
      <w:pPr>
        <w:widowControl/>
        <w:adjustRightInd w:val="0"/>
        <w:snapToGrid w:val="0"/>
        <w:spacing w:before="156" w:beforeLines="50" w:line="360" w:lineRule="auto"/>
        <w:ind w:firstLine="420"/>
        <w:rPr>
          <w:rFonts w:ascii="宋体" w:hAnsi="宋体"/>
          <w:color w:val="auto"/>
          <w:szCs w:val="21"/>
          <w:highlight w:val="none"/>
        </w:rPr>
      </w:pPr>
    </w:p>
    <w:p>
      <w:pPr>
        <w:widowControl/>
        <w:adjustRightInd w:val="0"/>
        <w:snapToGrid w:val="0"/>
        <w:spacing w:before="156" w:beforeLines="50" w:line="360" w:lineRule="auto"/>
        <w:ind w:firstLine="420"/>
        <w:rPr>
          <w:rFonts w:ascii="宋体" w:hAnsi="宋体"/>
          <w:color w:val="auto"/>
          <w:szCs w:val="21"/>
          <w:highlight w:val="none"/>
        </w:rPr>
      </w:pPr>
    </w:p>
    <w:p>
      <w:pPr>
        <w:adjustRightInd w:val="0"/>
        <w:snapToGrid w:val="0"/>
        <w:spacing w:before="156" w:beforeLines="50" w:line="360" w:lineRule="auto"/>
        <w:rPr>
          <w:rFonts w:ascii="宋体" w:hAnsi="宋体"/>
          <w:color w:val="auto"/>
          <w:szCs w:val="21"/>
          <w:highlight w:val="none"/>
        </w:rPr>
      </w:pPr>
      <w:r>
        <w:rPr>
          <w:rFonts w:hint="eastAsia" w:cs="宋体"/>
          <w:b w:val="0"/>
          <w:bCs w:val="0"/>
          <w:i w:val="0"/>
          <w:caps w:val="0"/>
          <w:color w:val="auto"/>
          <w:spacing w:val="0"/>
          <w:sz w:val="21"/>
          <w:szCs w:val="21"/>
          <w:highlight w:val="none"/>
          <w:shd w:val="clear" w:color="auto" w:fill="FFFFFF"/>
          <w:lang w:val="en-US" w:eastAsia="zh-CN"/>
        </w:rPr>
        <w:t>供应商</w:t>
      </w:r>
      <w:r>
        <w:rPr>
          <w:rFonts w:hint="eastAsia" w:ascii="宋体" w:hAnsi="宋体"/>
          <w:color w:val="auto"/>
          <w:szCs w:val="21"/>
          <w:highlight w:val="none"/>
        </w:rPr>
        <w:t xml:space="preserve">名称（单位章）： </w:t>
      </w:r>
    </w:p>
    <w:p>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pPr>
        <w:widowControl/>
        <w:adjustRightInd w:val="0"/>
        <w:snapToGrid w:val="0"/>
        <w:spacing w:before="156" w:beforeLines="50" w:line="360" w:lineRule="auto"/>
        <w:rPr>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bidi w:val="0"/>
        <w:rPr>
          <w:color w:val="auto"/>
          <w:highlight w:val="none"/>
        </w:rPr>
      </w:pPr>
    </w:p>
    <w:p>
      <w:pPr>
        <w:bidi w:val="0"/>
        <w:rPr>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rPr>
          <w:rFonts w:hint="eastAsia"/>
          <w:color w:val="auto"/>
          <w:highlight w:val="none"/>
        </w:rPr>
      </w:pPr>
      <w:r>
        <w:rPr>
          <w:rFonts w:hint="eastAsia"/>
          <w:color w:val="auto"/>
          <w:highlight w:val="none"/>
        </w:rPr>
        <w:br w:type="page"/>
      </w:r>
    </w:p>
    <w:p>
      <w:pPr>
        <w:spacing w:line="480" w:lineRule="exac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附件</w:t>
      </w:r>
      <w:r>
        <w:rPr>
          <w:rFonts w:hint="eastAsia" w:ascii="宋体" w:hAnsi="宋体" w:cs="宋体"/>
          <w:b/>
          <w:bCs/>
          <w:color w:val="auto"/>
          <w:sz w:val="30"/>
          <w:szCs w:val="30"/>
          <w:highlight w:val="none"/>
          <w:lang w:val="en-US" w:eastAsia="zh-CN"/>
        </w:rPr>
        <w:t>5</w:t>
      </w:r>
      <w:r>
        <w:rPr>
          <w:rFonts w:hint="eastAsia" w:ascii="宋体" w:hAnsi="宋体" w:eastAsia="宋体" w:cs="宋体"/>
          <w:b/>
          <w:bCs/>
          <w:color w:val="auto"/>
          <w:sz w:val="30"/>
          <w:szCs w:val="30"/>
          <w:highlight w:val="none"/>
        </w:rPr>
        <w:t xml:space="preserve">  磋商文件规定的特定资格条件证明资料</w:t>
      </w:r>
    </w:p>
    <w:p>
      <w:pPr>
        <w:spacing w:line="480" w:lineRule="exact"/>
        <w:rPr>
          <w:rFonts w:hint="eastAsia" w:ascii="宋体" w:hAnsi="宋体" w:eastAsia="宋体" w:cs="宋体"/>
          <w:color w:val="auto"/>
          <w:szCs w:val="21"/>
          <w:highlight w:val="none"/>
        </w:rPr>
      </w:pP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备注：提供供应商特定资格条件证明资料的复印件。</w:t>
      </w: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adjustRightInd w:val="0"/>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w:t>
      </w:r>
      <w:r>
        <w:rPr>
          <w:rFonts w:hint="eastAsia" w:ascii="宋体" w:hAnsi="宋体" w:cs="宋体"/>
          <w:b/>
          <w:color w:val="auto"/>
          <w:sz w:val="30"/>
          <w:szCs w:val="30"/>
          <w:highlight w:val="none"/>
          <w:lang w:val="en-US" w:eastAsia="zh-CN"/>
        </w:rPr>
        <w:t>6</w:t>
      </w:r>
      <w:r>
        <w:rPr>
          <w:rFonts w:hint="eastAsia" w:ascii="宋体" w:hAnsi="宋体" w:eastAsia="宋体" w:cs="宋体"/>
          <w:b/>
          <w:color w:val="auto"/>
          <w:sz w:val="30"/>
          <w:szCs w:val="30"/>
          <w:highlight w:val="none"/>
        </w:rPr>
        <w:t xml:space="preserve">           其它证明资料或说明</w:t>
      </w:r>
    </w:p>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提供磋商文件或评分标准需要提供的相关证明文件复印件</w:t>
      </w:r>
    </w:p>
    <w:p>
      <w:pPr>
        <w:bidi w:val="0"/>
        <w:rPr>
          <w:rFonts w:hint="eastAsia"/>
          <w:color w:val="auto"/>
          <w:highlight w:val="none"/>
        </w:rPr>
      </w:pPr>
    </w:p>
    <w:p>
      <w:pPr>
        <w:bidi w:val="0"/>
        <w:rPr>
          <w:rFonts w:hint="eastAsia"/>
          <w:color w:val="auto"/>
          <w:highlight w:val="none"/>
        </w:rPr>
      </w:pPr>
      <w:bookmarkStart w:id="20" w:name="_Toc15348"/>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rPr>
          <w:rFonts w:hint="eastAsia"/>
          <w:b/>
          <w:bCs/>
          <w:color w:val="auto"/>
          <w:sz w:val="24"/>
          <w:szCs w:val="24"/>
          <w:highlight w:val="none"/>
        </w:rPr>
      </w:pPr>
      <w:r>
        <w:rPr>
          <w:rFonts w:hint="eastAsia"/>
          <w:b/>
          <w:bCs/>
          <w:color w:val="auto"/>
          <w:sz w:val="24"/>
          <w:szCs w:val="24"/>
          <w:highlight w:val="none"/>
        </w:rPr>
        <w:br w:type="page"/>
      </w:r>
    </w:p>
    <w:p>
      <w:pPr>
        <w:bidi w:val="0"/>
        <w:jc w:val="center"/>
        <w:rPr>
          <w:rFonts w:hint="eastAsia"/>
          <w:color w:val="auto"/>
          <w:sz w:val="30"/>
          <w:szCs w:val="30"/>
          <w:highlight w:val="none"/>
        </w:rPr>
      </w:pPr>
      <w:r>
        <w:rPr>
          <w:rFonts w:hint="eastAsia"/>
          <w:b/>
          <w:bCs/>
          <w:color w:val="auto"/>
          <w:sz w:val="30"/>
          <w:szCs w:val="30"/>
          <w:highlight w:val="none"/>
          <w:lang w:val="en-US" w:eastAsia="zh-CN"/>
        </w:rPr>
        <w:t>三</w:t>
      </w:r>
      <w:r>
        <w:rPr>
          <w:rFonts w:hint="eastAsia"/>
          <w:b/>
          <w:bCs/>
          <w:color w:val="auto"/>
          <w:sz w:val="30"/>
          <w:szCs w:val="30"/>
          <w:highlight w:val="none"/>
        </w:rPr>
        <w:t>、提供享受政府采购政策的证明材料</w:t>
      </w:r>
      <w:bookmarkEnd w:id="20"/>
    </w:p>
    <w:p>
      <w:pPr>
        <w:bidi w:val="0"/>
        <w:rPr>
          <w:color w:val="auto"/>
          <w:highlight w:val="none"/>
        </w:rPr>
      </w:pPr>
    </w:p>
    <w:p>
      <w:pPr>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lang w:eastAsia="zh-CN"/>
        </w:rPr>
        <w:t>中小</w:t>
      </w:r>
      <w:r>
        <w:rPr>
          <w:rFonts w:hint="eastAsia" w:ascii="宋体" w:hAnsi="宋体" w:cs="宋体"/>
          <w:b/>
          <w:color w:val="auto"/>
          <w:kern w:val="0"/>
          <w:sz w:val="36"/>
          <w:szCs w:val="36"/>
          <w:highlight w:val="none"/>
        </w:rPr>
        <w:t>企业声明函</w:t>
      </w:r>
    </w:p>
    <w:p>
      <w:pPr>
        <w:widowControl/>
        <w:spacing w:line="44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本公司</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郑重声明，根据《政府采购促进中小企业发展管理办法》（财库﹝2020﹞46 号）的规定，本公司</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参加</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（招标单位名称）</w:t>
      </w:r>
      <w:r>
        <w:rPr>
          <w:rFonts w:hint="eastAsia" w:ascii="宋体" w:hAnsi="宋体"/>
          <w:color w:val="auto"/>
          <w:sz w:val="21"/>
          <w:szCs w:val="21"/>
          <w:highlight w:val="none"/>
        </w:rPr>
        <w:t>的</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（项目名称）</w:t>
      </w:r>
      <w:r>
        <w:rPr>
          <w:rFonts w:hint="eastAsia" w:ascii="宋体" w:hAnsi="宋体"/>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adjustRightInd w:val="0"/>
        <w:snapToGrid w:val="0"/>
        <w:spacing w:line="440" w:lineRule="exact"/>
        <w:ind w:firstLine="210" w:firstLineChars="100"/>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（标的名称）</w:t>
      </w:r>
      <w:r>
        <w:rPr>
          <w:rFonts w:hint="eastAsia" w:ascii="宋体" w:hAnsi="宋体"/>
          <w:color w:val="auto"/>
          <w:sz w:val="21"/>
          <w:szCs w:val="21"/>
          <w:highlight w:val="none"/>
        </w:rPr>
        <w:t xml:space="preserve"> ，属于</w:t>
      </w:r>
      <w:r>
        <w:rPr>
          <w:rFonts w:hint="eastAsia" w:ascii="宋体" w:hAnsi="宋体"/>
          <w:color w:val="auto"/>
          <w:sz w:val="21"/>
          <w:szCs w:val="21"/>
          <w:highlight w:val="none"/>
          <w:u w:val="single"/>
        </w:rPr>
        <w:t xml:space="preserve">     （采购文件中明确的所属行业）</w:t>
      </w:r>
      <w:r>
        <w:rPr>
          <w:rFonts w:hint="eastAsia" w:ascii="宋体" w:hAnsi="宋体"/>
          <w:color w:val="auto"/>
          <w:sz w:val="21"/>
          <w:szCs w:val="21"/>
          <w:highlight w:val="none"/>
        </w:rPr>
        <w:t>； 承建（承接）企业为</w:t>
      </w:r>
      <w:r>
        <w:rPr>
          <w:rFonts w:hint="eastAsia" w:ascii="宋体" w:hAnsi="宋体"/>
          <w:color w:val="auto"/>
          <w:sz w:val="21"/>
          <w:szCs w:val="21"/>
          <w:highlight w:val="none"/>
          <w:u w:val="single"/>
        </w:rPr>
        <w:t xml:space="preserve">   （企业名称）</w:t>
      </w:r>
      <w:r>
        <w:rPr>
          <w:rFonts w:hint="eastAsia"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人，营业收入为</w:t>
      </w:r>
      <w:r>
        <w:rPr>
          <w:rFonts w:ascii="宋体" w:hAnsi="宋体"/>
          <w:color w:val="auto"/>
          <w:sz w:val="21"/>
          <w:szCs w:val="21"/>
          <w:highlight w:val="none"/>
          <w:u w:val="single"/>
        </w:rPr>
        <w:t xml:space="preserve">     </w:t>
      </w:r>
      <w:r>
        <w:rPr>
          <w:rFonts w:hint="eastAsia" w:ascii="宋体" w:hAnsi="宋体"/>
          <w:color w:val="auto"/>
          <w:sz w:val="21"/>
          <w:szCs w:val="21"/>
          <w:highlight w:val="none"/>
        </w:rPr>
        <w:t>万元，资产总额为</w:t>
      </w:r>
      <w:r>
        <w:rPr>
          <w:rFonts w:ascii="宋体" w:hAnsi="宋体"/>
          <w:color w:val="auto"/>
          <w:sz w:val="21"/>
          <w:szCs w:val="21"/>
          <w:highlight w:val="none"/>
          <w:u w:val="single"/>
        </w:rPr>
        <w:t xml:space="preserve">     </w:t>
      </w:r>
      <w:r>
        <w:rPr>
          <w:rFonts w:hint="eastAsia" w:ascii="宋体" w:hAnsi="宋体"/>
          <w:color w:val="auto"/>
          <w:sz w:val="21"/>
          <w:szCs w:val="21"/>
          <w:highlight w:val="none"/>
        </w:rPr>
        <w:t>万元1，属于</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w:t>
      </w:r>
      <w:r>
        <w:rPr>
          <w:rFonts w:hint="eastAsia" w:ascii="宋体" w:hAnsi="宋体"/>
          <w:color w:val="auto"/>
          <w:sz w:val="21"/>
          <w:szCs w:val="21"/>
          <w:highlight w:val="none"/>
          <w:u w:val="single"/>
        </w:rPr>
        <w:t>中型企业、 小型企业、微型企业</w:t>
      </w:r>
      <w:r>
        <w:rPr>
          <w:rFonts w:hint="eastAsia" w:ascii="宋体" w:hAnsi="宋体"/>
          <w:color w:val="auto"/>
          <w:sz w:val="21"/>
          <w:szCs w:val="21"/>
          <w:highlight w:val="none"/>
        </w:rPr>
        <w:t xml:space="preserve">）； </w:t>
      </w:r>
    </w:p>
    <w:p>
      <w:pPr>
        <w:adjustRightInd w:val="0"/>
        <w:snapToGrid w:val="0"/>
        <w:spacing w:line="440" w:lineRule="exact"/>
        <w:ind w:firstLine="105" w:firstLineChars="50"/>
        <w:rPr>
          <w:rFonts w:hint="eastAsia" w:ascii="宋体" w:hAnsi="宋体"/>
          <w:color w:val="auto"/>
          <w:sz w:val="21"/>
          <w:szCs w:val="21"/>
          <w:highlight w:val="none"/>
        </w:rPr>
      </w:pPr>
    </w:p>
    <w:p>
      <w:pPr>
        <w:adjustRightInd w:val="0"/>
        <w:snapToGrid w:val="0"/>
        <w:spacing w:line="440" w:lineRule="exact"/>
        <w:ind w:firstLine="105" w:firstLineChars="5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（标的名称）</w:t>
      </w:r>
      <w:r>
        <w:rPr>
          <w:rFonts w:hint="eastAsia" w:ascii="宋体" w:hAnsi="宋体"/>
          <w:color w:val="auto"/>
          <w:sz w:val="21"/>
          <w:szCs w:val="21"/>
          <w:highlight w:val="none"/>
        </w:rPr>
        <w:t xml:space="preserve"> ，属于</w:t>
      </w:r>
      <w:r>
        <w:rPr>
          <w:rFonts w:hint="eastAsia" w:ascii="宋体" w:hAnsi="宋体"/>
          <w:color w:val="auto"/>
          <w:sz w:val="21"/>
          <w:szCs w:val="21"/>
          <w:highlight w:val="none"/>
          <w:u w:val="single"/>
        </w:rPr>
        <w:t>（采购文件中明确的所属行业）</w:t>
      </w:r>
      <w:r>
        <w:rPr>
          <w:rFonts w:hint="eastAsia" w:ascii="宋体" w:hAnsi="宋体"/>
          <w:color w:val="auto"/>
          <w:sz w:val="21"/>
          <w:szCs w:val="21"/>
          <w:highlight w:val="none"/>
        </w:rPr>
        <w:t>； 承建（承接）企业为</w:t>
      </w:r>
      <w:r>
        <w:rPr>
          <w:rFonts w:hint="eastAsia" w:ascii="宋体" w:hAnsi="宋体"/>
          <w:color w:val="auto"/>
          <w:sz w:val="21"/>
          <w:szCs w:val="21"/>
          <w:highlight w:val="none"/>
          <w:u w:val="single"/>
        </w:rPr>
        <w:t>（企业名称）</w:t>
      </w:r>
      <w:r>
        <w:rPr>
          <w:rFonts w:hint="eastAsia"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 xml:space="preserve">人，营业收入为 </w:t>
      </w:r>
      <w:r>
        <w:rPr>
          <w:rFonts w:ascii="宋体" w:hAnsi="宋体"/>
          <w:color w:val="auto"/>
          <w:sz w:val="21"/>
          <w:szCs w:val="21"/>
          <w:highlight w:val="none"/>
          <w:u w:val="single"/>
        </w:rPr>
        <w:t xml:space="preserve">        </w:t>
      </w:r>
      <w:r>
        <w:rPr>
          <w:rFonts w:hint="eastAsia" w:ascii="宋体" w:hAnsi="宋体"/>
          <w:color w:val="auto"/>
          <w:sz w:val="21"/>
          <w:szCs w:val="21"/>
          <w:highlight w:val="none"/>
        </w:rPr>
        <w:t>万元，资产总额为</w:t>
      </w:r>
      <w:r>
        <w:rPr>
          <w:rFonts w:ascii="宋体" w:hAnsi="宋体"/>
          <w:color w:val="auto"/>
          <w:sz w:val="21"/>
          <w:szCs w:val="21"/>
          <w:highlight w:val="none"/>
          <w:u w:val="single"/>
        </w:rPr>
        <w:t xml:space="preserve">        </w:t>
      </w:r>
      <w:r>
        <w:rPr>
          <w:rFonts w:hint="eastAsia" w:ascii="宋体" w:hAnsi="宋体"/>
          <w:color w:val="auto"/>
          <w:sz w:val="21"/>
          <w:szCs w:val="21"/>
          <w:highlight w:val="none"/>
        </w:rPr>
        <w:t>万元，属于</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w:t>
      </w:r>
      <w:r>
        <w:rPr>
          <w:rFonts w:hint="eastAsia" w:ascii="宋体" w:hAnsi="宋体"/>
          <w:color w:val="auto"/>
          <w:sz w:val="21"/>
          <w:szCs w:val="21"/>
          <w:highlight w:val="none"/>
          <w:u w:val="single"/>
        </w:rPr>
        <w:t>中型企业、 小型企业、微型企业</w:t>
      </w:r>
      <w:r>
        <w:rPr>
          <w:rFonts w:hint="eastAsia" w:ascii="宋体" w:hAnsi="宋体"/>
          <w:color w:val="auto"/>
          <w:sz w:val="21"/>
          <w:szCs w:val="21"/>
          <w:highlight w:val="none"/>
        </w:rPr>
        <w:t xml:space="preserve">）； </w:t>
      </w:r>
    </w:p>
    <w:p>
      <w:pPr>
        <w:adjustRightInd w:val="0"/>
        <w:snapToGrid w:val="0"/>
        <w:spacing w:line="440" w:lineRule="exact"/>
        <w:ind w:firstLine="367" w:firstLineChars="175"/>
        <w:rPr>
          <w:rFonts w:hint="eastAsia" w:ascii="宋体" w:hAnsi="宋体"/>
          <w:color w:val="auto"/>
          <w:sz w:val="21"/>
          <w:szCs w:val="21"/>
          <w:highlight w:val="none"/>
        </w:rPr>
      </w:pPr>
      <w:r>
        <w:rPr>
          <w:rFonts w:hint="eastAsia" w:ascii="宋体" w:hAnsi="宋体"/>
          <w:color w:val="auto"/>
          <w:sz w:val="21"/>
          <w:szCs w:val="21"/>
          <w:highlight w:val="none"/>
        </w:rPr>
        <w:t>……</w:t>
      </w:r>
    </w:p>
    <w:p>
      <w:pPr>
        <w:adjustRightInd w:val="0"/>
        <w:snapToGrid w:val="0"/>
        <w:spacing w:line="440" w:lineRule="exact"/>
        <w:ind w:firstLine="367" w:firstLineChars="175"/>
        <w:rPr>
          <w:rFonts w:hint="eastAsia" w:ascii="宋体" w:hAnsi="宋体"/>
          <w:color w:val="auto"/>
          <w:sz w:val="21"/>
          <w:szCs w:val="21"/>
          <w:highlight w:val="none"/>
        </w:rPr>
      </w:pPr>
      <w:r>
        <w:rPr>
          <w:rFonts w:hint="eastAsia" w:ascii="宋体" w:hAnsi="宋体"/>
          <w:color w:val="auto"/>
          <w:sz w:val="21"/>
          <w:szCs w:val="21"/>
          <w:highlight w:val="none"/>
        </w:rPr>
        <w:t>以上企业，不属于大企业的分支机构，不存在控股股东为大企业的情形，也不存在与大企业的负责人为同一人的情形。</w:t>
      </w:r>
    </w:p>
    <w:p>
      <w:pPr>
        <w:adjustRightInd w:val="0"/>
        <w:snapToGrid w:val="0"/>
        <w:spacing w:line="440" w:lineRule="exact"/>
        <w:ind w:firstLine="367" w:firstLineChars="175"/>
        <w:rPr>
          <w:rFonts w:hint="eastAsia" w:ascii="宋体" w:hAnsi="宋体"/>
          <w:color w:val="auto"/>
          <w:sz w:val="21"/>
          <w:szCs w:val="21"/>
          <w:highlight w:val="none"/>
        </w:rPr>
      </w:pPr>
      <w:r>
        <w:rPr>
          <w:rFonts w:hint="eastAsia" w:ascii="宋体" w:hAnsi="宋体"/>
          <w:color w:val="auto"/>
          <w:sz w:val="21"/>
          <w:szCs w:val="21"/>
          <w:highlight w:val="none"/>
        </w:rPr>
        <w:t xml:space="preserve">本企业对上述声明内容的真实性负责。如有虚假，将依法承担相应责任。 </w:t>
      </w:r>
    </w:p>
    <w:p>
      <w:pPr>
        <w:adjustRightInd w:val="0"/>
        <w:snapToGrid w:val="0"/>
        <w:ind w:firstLine="367" w:firstLineChars="175"/>
        <w:rPr>
          <w:rFonts w:hint="eastAsia" w:ascii="宋体" w:hAnsi="宋体"/>
          <w:color w:val="auto"/>
          <w:sz w:val="21"/>
          <w:szCs w:val="21"/>
          <w:highlight w:val="none"/>
        </w:rPr>
      </w:pPr>
    </w:p>
    <w:p>
      <w:pPr>
        <w:adjustRightInd w:val="0"/>
        <w:snapToGrid w:val="0"/>
        <w:ind w:firstLine="367" w:firstLineChars="175"/>
        <w:rPr>
          <w:rFonts w:hint="eastAsia" w:ascii="宋体" w:hAnsi="宋体"/>
          <w:color w:val="auto"/>
          <w:sz w:val="21"/>
          <w:szCs w:val="21"/>
          <w:highlight w:val="none"/>
        </w:rPr>
      </w:pPr>
    </w:p>
    <w:p>
      <w:pPr>
        <w:adjustRightInd w:val="0"/>
        <w:snapToGrid w:val="0"/>
        <w:ind w:firstLine="367" w:firstLineChars="175"/>
        <w:rPr>
          <w:rFonts w:hint="eastAsia" w:ascii="宋体" w:hAnsi="宋体"/>
          <w:color w:val="auto"/>
          <w:sz w:val="21"/>
          <w:szCs w:val="21"/>
          <w:highlight w:val="none"/>
        </w:rPr>
      </w:pPr>
      <w:r>
        <w:rPr>
          <w:rFonts w:hint="eastAsia" w:ascii="宋体" w:hAnsi="宋体"/>
          <w:color w:val="auto"/>
          <w:sz w:val="21"/>
          <w:szCs w:val="21"/>
          <w:highlight w:val="none"/>
        </w:rPr>
        <w:t xml:space="preserve">企业名称（盖章）： </w:t>
      </w:r>
    </w:p>
    <w:p>
      <w:pPr>
        <w:adjustRightInd w:val="0"/>
        <w:snapToGrid w:val="0"/>
        <w:ind w:firstLine="367" w:firstLineChars="175"/>
        <w:rPr>
          <w:rFonts w:hint="eastAsia" w:ascii="宋体" w:hAnsi="宋体"/>
          <w:color w:val="auto"/>
          <w:sz w:val="21"/>
          <w:szCs w:val="21"/>
          <w:highlight w:val="none"/>
        </w:rPr>
      </w:pPr>
    </w:p>
    <w:p>
      <w:pPr>
        <w:adjustRightInd w:val="0"/>
        <w:snapToGrid w:val="0"/>
        <w:ind w:firstLine="367" w:firstLineChars="175"/>
        <w:rPr>
          <w:rFonts w:hint="eastAsia" w:ascii="宋体" w:hAnsi="宋体"/>
          <w:color w:val="auto"/>
          <w:sz w:val="21"/>
          <w:szCs w:val="21"/>
          <w:highlight w:val="none"/>
        </w:rPr>
      </w:pPr>
      <w:r>
        <w:rPr>
          <w:rFonts w:hint="eastAsia" w:ascii="宋体" w:hAnsi="宋体"/>
          <w:color w:val="auto"/>
          <w:sz w:val="21"/>
          <w:szCs w:val="21"/>
          <w:highlight w:val="none"/>
        </w:rPr>
        <w:t xml:space="preserve">日 期： </w:t>
      </w:r>
    </w:p>
    <w:p>
      <w:pPr>
        <w:adjustRightInd w:val="0"/>
        <w:snapToGrid w:val="0"/>
        <w:ind w:firstLine="367" w:firstLineChars="175"/>
        <w:rPr>
          <w:rFonts w:hint="eastAsia" w:ascii="宋体" w:hAnsi="宋体"/>
          <w:color w:val="auto"/>
          <w:sz w:val="21"/>
          <w:szCs w:val="21"/>
          <w:highlight w:val="none"/>
        </w:rPr>
      </w:pPr>
      <w:r>
        <w:rPr>
          <w:rFonts w:ascii="宋体" w:hAnsi="宋体"/>
          <w:color w:val="auto"/>
          <w:sz w:val="21"/>
          <w:szCs w:val="21"/>
          <w:highlight w:val="none"/>
        </w:rPr>
        <w:t xml:space="preserve"> </w:t>
      </w:r>
    </w:p>
    <w:p>
      <w:pPr>
        <w:adjustRightInd w:val="0"/>
        <w:snapToGrid w:val="0"/>
        <w:ind w:firstLine="367" w:firstLineChars="175"/>
        <w:rPr>
          <w:rFonts w:hint="eastAsia" w:ascii="宋体" w:hAnsi="宋体"/>
          <w:color w:val="auto"/>
          <w:sz w:val="21"/>
          <w:szCs w:val="21"/>
          <w:highlight w:val="none"/>
        </w:rPr>
      </w:pPr>
      <w:r>
        <w:rPr>
          <w:rFonts w:hint="eastAsia" w:ascii="宋体" w:hAnsi="宋体"/>
          <w:color w:val="auto"/>
          <w:sz w:val="21"/>
          <w:szCs w:val="21"/>
          <w:highlight w:val="none"/>
        </w:rPr>
        <w:t>注：从业人员、营业收入、资产总额填报上一年度数据，无上一年度数据的新成立企业可不填报。</w:t>
      </w:r>
    </w:p>
    <w:p>
      <w:pPr>
        <w:rPr>
          <w:color w:val="auto"/>
          <w:highlight w:val="none"/>
        </w:rPr>
      </w:pPr>
      <w:r>
        <w:rPr>
          <w:color w:val="auto"/>
          <w:highlight w:val="none"/>
        </w:rPr>
        <w:br w:type="page"/>
      </w:r>
    </w:p>
    <w:p>
      <w:pP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残疾人福利性单位声明函</w:t>
      </w:r>
    </w:p>
    <w:p>
      <w:pPr>
        <w:adjustRightInd w:val="0"/>
        <w:snapToGrid w:val="0"/>
        <w:spacing w:line="360" w:lineRule="auto"/>
        <w:jc w:val="center"/>
        <w:rPr>
          <w:rFonts w:ascii="宋体" w:hAnsi="宋体"/>
          <w:b/>
          <w:color w:val="auto"/>
          <w:spacing w:val="6"/>
          <w:sz w:val="22"/>
          <w:szCs w:val="22"/>
          <w:highlight w:val="none"/>
        </w:rPr>
      </w:pPr>
      <w:r>
        <w:rPr>
          <w:rFonts w:hint="eastAsia" w:ascii="宋体" w:hAnsi="宋体"/>
          <w:b/>
          <w:color w:val="auto"/>
          <w:spacing w:val="6"/>
          <w:sz w:val="22"/>
          <w:szCs w:val="22"/>
          <w:highlight w:val="none"/>
        </w:rPr>
        <w:t>(不属于残疾人福利性单位的无需填写)</w:t>
      </w:r>
    </w:p>
    <w:p>
      <w:pPr>
        <w:adjustRightInd w:val="0"/>
        <w:snapToGrid w:val="0"/>
        <w:spacing w:line="360" w:lineRule="auto"/>
        <w:ind w:firstLine="444" w:firstLineChars="200"/>
        <w:rPr>
          <w:rFonts w:ascii="宋体" w:hAnsi="宋体"/>
          <w:color w:val="auto"/>
          <w:spacing w:val="6"/>
          <w:szCs w:val="21"/>
          <w:highlight w:val="none"/>
        </w:rPr>
      </w:pPr>
    </w:p>
    <w:p>
      <w:pPr>
        <w:widowControl/>
        <w:spacing w:line="440" w:lineRule="exact"/>
        <w:ind w:firstLine="360" w:firstLineChars="150"/>
        <w:jc w:val="left"/>
        <w:rPr>
          <w:rFonts w:hint="eastAsia" w:ascii="宋体" w:hAnsi="宋体"/>
          <w:color w:val="auto"/>
          <w:sz w:val="24"/>
          <w:highlight w:val="none"/>
        </w:rPr>
      </w:pPr>
      <w:r>
        <w:rPr>
          <w:rFonts w:hint="eastAsia" w:ascii="宋体" w:hAnsi="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line="440" w:lineRule="exact"/>
        <w:ind w:firstLine="360" w:firstLineChars="150"/>
        <w:jc w:val="left"/>
        <w:rPr>
          <w:rFonts w:hint="eastAsia" w:ascii="宋体" w:hAnsi="宋体"/>
          <w:color w:val="auto"/>
          <w:sz w:val="24"/>
          <w:highlight w:val="none"/>
        </w:rPr>
      </w:pPr>
      <w:r>
        <w:rPr>
          <w:rFonts w:hint="eastAsia" w:ascii="宋体" w:hAnsi="宋体"/>
          <w:color w:val="auto"/>
          <w:sz w:val="24"/>
          <w:highlight w:val="none"/>
        </w:rPr>
        <w:t>本单位对上述声明的真实性负责。如有虚假，将依法承担相应责任。</w:t>
      </w:r>
    </w:p>
    <w:p>
      <w:pPr>
        <w:widowControl/>
        <w:spacing w:line="440" w:lineRule="exact"/>
        <w:ind w:firstLine="360" w:firstLineChars="150"/>
        <w:jc w:val="left"/>
        <w:rPr>
          <w:rFonts w:hint="eastAsia" w:ascii="宋体" w:hAnsi="宋体"/>
          <w:color w:val="auto"/>
          <w:sz w:val="24"/>
          <w:highlight w:val="none"/>
        </w:rPr>
      </w:pPr>
    </w:p>
    <w:p>
      <w:pPr>
        <w:widowControl/>
        <w:spacing w:line="440" w:lineRule="exact"/>
        <w:ind w:firstLine="360" w:firstLineChars="150"/>
        <w:jc w:val="left"/>
        <w:rPr>
          <w:rFonts w:hint="eastAsia" w:ascii="宋体" w:hAnsi="宋体"/>
          <w:color w:val="auto"/>
          <w:sz w:val="24"/>
          <w:highlight w:val="none"/>
        </w:rPr>
      </w:pPr>
    </w:p>
    <w:p>
      <w:pPr>
        <w:widowControl/>
        <w:spacing w:line="440" w:lineRule="exact"/>
        <w:ind w:firstLine="360" w:firstLineChars="150"/>
        <w:jc w:val="left"/>
        <w:rPr>
          <w:rFonts w:hint="eastAsia" w:ascii="宋体" w:hAnsi="宋体"/>
          <w:color w:val="auto"/>
          <w:sz w:val="24"/>
          <w:highlight w:val="none"/>
        </w:rPr>
      </w:pPr>
      <w:r>
        <w:rPr>
          <w:rFonts w:hint="eastAsia" w:ascii="宋体" w:hAnsi="宋体"/>
          <w:color w:val="auto"/>
          <w:sz w:val="24"/>
          <w:highlight w:val="none"/>
        </w:rPr>
        <w:t xml:space="preserve">               单位名称（盖章）：</w:t>
      </w:r>
    </w:p>
    <w:p>
      <w:pPr>
        <w:widowControl/>
        <w:spacing w:line="440" w:lineRule="exact"/>
        <w:ind w:firstLine="360" w:firstLineChars="150"/>
        <w:jc w:val="left"/>
        <w:rPr>
          <w:rFonts w:hint="eastAsia" w:ascii="宋体" w:hAnsi="宋体"/>
          <w:color w:val="auto"/>
          <w:sz w:val="24"/>
          <w:highlight w:val="none"/>
        </w:rPr>
      </w:pPr>
      <w:r>
        <w:rPr>
          <w:rFonts w:hint="eastAsia" w:ascii="宋体" w:hAnsi="宋体"/>
          <w:color w:val="auto"/>
          <w:sz w:val="24"/>
          <w:highlight w:val="none"/>
        </w:rPr>
        <w:t xml:space="preserve">                </w:t>
      </w:r>
    </w:p>
    <w:p>
      <w:pPr>
        <w:widowControl/>
        <w:spacing w:line="440" w:lineRule="exact"/>
        <w:ind w:firstLine="3360" w:firstLineChars="1400"/>
        <w:jc w:val="left"/>
        <w:rPr>
          <w:rFonts w:hint="eastAsia" w:ascii="宋体" w:hAnsi="宋体"/>
          <w:color w:val="auto"/>
          <w:sz w:val="24"/>
          <w:highlight w:val="none"/>
        </w:rPr>
      </w:pPr>
      <w:r>
        <w:rPr>
          <w:rFonts w:hint="eastAsia" w:ascii="宋体" w:hAnsi="宋体"/>
          <w:color w:val="auto"/>
          <w:sz w:val="24"/>
          <w:highlight w:val="none"/>
        </w:rPr>
        <w:t>日  期：</w:t>
      </w:r>
    </w:p>
    <w:p>
      <w:pPr>
        <w:rPr>
          <w:rFonts w:hint="eastAsia"/>
          <w:color w:val="auto"/>
          <w:highlight w:val="none"/>
        </w:rPr>
      </w:pPr>
      <w:r>
        <w:rPr>
          <w:rFonts w:hint="eastAsia"/>
          <w:color w:val="auto"/>
          <w:highlight w:val="none"/>
        </w:rPr>
        <w:br w:type="page"/>
      </w:r>
    </w:p>
    <w:p>
      <w:pPr>
        <w:ind w:firstLine="2168" w:firstLineChars="60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监狱企业证明资料</w:t>
      </w:r>
    </w:p>
    <w:p>
      <w:pPr>
        <w:ind w:firstLine="2024" w:firstLineChars="800"/>
        <w:rPr>
          <w:rFonts w:ascii="宋体" w:hAnsi="宋体"/>
          <w:b/>
          <w:color w:val="auto"/>
          <w:spacing w:val="6"/>
          <w:sz w:val="24"/>
          <w:highlight w:val="none"/>
        </w:rPr>
      </w:pPr>
      <w:r>
        <w:rPr>
          <w:rFonts w:hint="eastAsia" w:ascii="宋体" w:hAnsi="宋体"/>
          <w:b/>
          <w:color w:val="auto"/>
          <w:spacing w:val="6"/>
          <w:sz w:val="24"/>
          <w:highlight w:val="none"/>
        </w:rPr>
        <w:t>(不属于监狱企业的无需提供)</w:t>
      </w:r>
    </w:p>
    <w:p>
      <w:pPr>
        <w:adjustRightInd w:val="0"/>
        <w:snapToGrid w:val="0"/>
        <w:spacing w:line="360" w:lineRule="auto"/>
        <w:rPr>
          <w:rFonts w:ascii="宋体" w:hAnsi="宋体"/>
          <w:color w:val="auto"/>
          <w:szCs w:val="21"/>
          <w:highlight w:val="none"/>
        </w:rPr>
      </w:pPr>
    </w:p>
    <w:p>
      <w:pPr>
        <w:adjustRightInd w:val="0"/>
        <w:snapToGrid w:val="0"/>
        <w:spacing w:line="440" w:lineRule="exact"/>
        <w:ind w:firstLine="420" w:firstLineChars="175"/>
        <w:rPr>
          <w:rFonts w:hint="eastAsia" w:ascii="宋体" w:hAnsi="宋体"/>
          <w:color w:val="auto"/>
          <w:sz w:val="24"/>
          <w:highlight w:val="none"/>
        </w:rPr>
      </w:pPr>
      <w:r>
        <w:rPr>
          <w:rFonts w:hint="eastAsia" w:ascii="宋体" w:hAnsi="宋体"/>
          <w:color w:val="auto"/>
          <w:sz w:val="24"/>
          <w:highlight w:val="none"/>
        </w:rPr>
        <w:t>备注：按《财政部 司法部关于政府采购支持监狱企业发展有关问题的通知》(财库〔2014〕68号)文件规定提供证明文件（复印件）。</w:t>
      </w:r>
    </w:p>
    <w:p>
      <w:pPr>
        <w:pStyle w:val="49"/>
        <w:rPr>
          <w:rFonts w:hint="eastAsia"/>
          <w:color w:val="auto"/>
          <w:highlight w:val="none"/>
        </w:rPr>
      </w:pPr>
    </w:p>
    <w:p>
      <w:pPr>
        <w:rPr>
          <w:rFonts w:hint="eastAsia"/>
          <w:b/>
          <w:bCs/>
          <w:color w:val="auto"/>
          <w:sz w:val="30"/>
          <w:szCs w:val="30"/>
          <w:highlight w:val="none"/>
        </w:rPr>
      </w:pPr>
      <w:r>
        <w:rPr>
          <w:rFonts w:hint="eastAsia"/>
          <w:b/>
          <w:bCs/>
          <w:color w:val="auto"/>
          <w:sz w:val="30"/>
          <w:szCs w:val="30"/>
          <w:highlight w:val="none"/>
        </w:rPr>
        <w:br w:type="page"/>
      </w:r>
    </w:p>
    <w:p>
      <w:pPr>
        <w:bidi w:val="0"/>
        <w:jc w:val="center"/>
        <w:rPr>
          <w:rFonts w:hint="eastAsia"/>
          <w:color w:val="auto"/>
          <w:highlight w:val="none"/>
        </w:rPr>
      </w:pPr>
      <w:r>
        <w:rPr>
          <w:rFonts w:hint="eastAsia"/>
          <w:b/>
          <w:bCs/>
          <w:color w:val="auto"/>
          <w:sz w:val="30"/>
          <w:szCs w:val="30"/>
          <w:highlight w:val="none"/>
          <w:lang w:val="en-US" w:eastAsia="zh-CN"/>
        </w:rPr>
        <w:t>四</w:t>
      </w:r>
      <w:r>
        <w:rPr>
          <w:rFonts w:hint="eastAsia"/>
          <w:b/>
          <w:bCs/>
          <w:color w:val="auto"/>
          <w:sz w:val="30"/>
          <w:szCs w:val="30"/>
          <w:highlight w:val="none"/>
        </w:rPr>
        <w:t>、</w:t>
      </w:r>
      <w:r>
        <w:rPr>
          <w:rFonts w:hint="eastAsia"/>
          <w:b/>
          <w:bCs/>
          <w:color w:val="auto"/>
          <w:sz w:val="30"/>
          <w:szCs w:val="30"/>
          <w:highlight w:val="none"/>
          <w:lang w:val="en-US" w:eastAsia="zh-CN"/>
        </w:rPr>
        <w:t>服务</w:t>
      </w:r>
      <w:r>
        <w:rPr>
          <w:rFonts w:hint="eastAsia"/>
          <w:b/>
          <w:bCs/>
          <w:color w:val="auto"/>
          <w:sz w:val="30"/>
          <w:szCs w:val="30"/>
          <w:highlight w:val="none"/>
          <w:lang w:eastAsia="zh-CN"/>
        </w:rPr>
        <w:t>组织设计</w:t>
      </w:r>
    </w:p>
    <w:p>
      <w:pPr>
        <w:bidi w:val="0"/>
        <w:rPr>
          <w:rFonts w:hint="eastAsia"/>
          <w:color w:val="auto"/>
          <w:highlight w:val="none"/>
        </w:rPr>
      </w:pPr>
    </w:p>
    <w:p>
      <w:pPr>
        <w:bidi w:val="0"/>
        <w:rPr>
          <w:rFonts w:hint="eastAsia"/>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ind w:firstLine="630" w:firstLineChars="300"/>
        <w:textAlignment w:val="auto"/>
        <w:rPr>
          <w:rFonts w:hint="default" w:ascii="黑体" w:eastAsia="宋体"/>
          <w:color w:val="auto"/>
          <w:sz w:val="30"/>
          <w:szCs w:val="30"/>
          <w:highlight w:val="none"/>
          <w:lang w:val="en-US"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按评审因素技术评审项进行编制</w:t>
      </w:r>
    </w:p>
    <w:p>
      <w:pPr>
        <w:keepNext w:val="0"/>
        <w:keepLines w:val="0"/>
        <w:pageBreakBefore w:val="0"/>
        <w:widowControl w:val="0"/>
        <w:kinsoku/>
        <w:wordWrap/>
        <w:overflowPunct/>
        <w:topLinePunct w:val="0"/>
        <w:autoSpaceDE/>
        <w:autoSpaceDN/>
        <w:bidi w:val="0"/>
        <w:spacing w:line="500" w:lineRule="exact"/>
        <w:textAlignment w:val="auto"/>
        <w:rPr>
          <w:rFonts w:hint="eastAsia" w:ascii="黑体" w:eastAsia="黑体"/>
          <w:color w:val="auto"/>
          <w:sz w:val="30"/>
          <w:szCs w:val="30"/>
          <w:highlight w:val="none"/>
        </w:rPr>
      </w:pPr>
    </w:p>
    <w:p>
      <w:pPr>
        <w:pStyle w:val="5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rPr>
          <w:rFonts w:hint="eastAsia"/>
          <w:color w:val="auto"/>
          <w:highlight w:val="none"/>
        </w:rPr>
      </w:pPr>
      <w:r>
        <w:rPr>
          <w:rFonts w:hint="eastAsia"/>
          <w:color w:val="auto"/>
          <w:highlight w:val="none"/>
        </w:rPr>
        <w:br w:type="page"/>
      </w:r>
    </w:p>
    <w:p>
      <w:pPr>
        <w:spacing w:line="360" w:lineRule="atLeast"/>
        <w:rPr>
          <w:rFonts w:hint="eastAsia" w:ascii="黑体" w:eastAsia="黑体"/>
          <w:color w:val="auto"/>
          <w:sz w:val="30"/>
          <w:szCs w:val="30"/>
          <w:highlight w:val="none"/>
        </w:rPr>
      </w:pPr>
      <w:r>
        <w:rPr>
          <w:rFonts w:hint="eastAsia" w:ascii="黑体" w:eastAsia="黑体"/>
          <w:color w:val="auto"/>
          <w:sz w:val="30"/>
          <w:szCs w:val="30"/>
          <w:highlight w:val="none"/>
        </w:rPr>
        <w:t>附件</w:t>
      </w:r>
      <w:r>
        <w:rPr>
          <w:rFonts w:hint="eastAsia" w:ascii="黑体" w:eastAsia="黑体"/>
          <w:color w:val="auto"/>
          <w:sz w:val="30"/>
          <w:szCs w:val="30"/>
          <w:highlight w:val="none"/>
          <w:lang w:val="en-US" w:eastAsia="zh-CN"/>
        </w:rPr>
        <w:t>7</w:t>
      </w:r>
      <w:r>
        <w:rPr>
          <w:rFonts w:hint="eastAsia" w:ascii="黑体" w:eastAsia="黑体"/>
          <w:color w:val="auto"/>
          <w:sz w:val="30"/>
          <w:szCs w:val="30"/>
          <w:highlight w:val="none"/>
        </w:rPr>
        <w:t xml:space="preserve">                主要人员简历表</w:t>
      </w:r>
    </w:p>
    <w:p>
      <w:pPr>
        <w:spacing w:line="360" w:lineRule="atLeast"/>
        <w:jc w:val="center"/>
        <w:rPr>
          <w:rFonts w:hint="eastAsia" w:ascii="宋体"/>
          <w:color w:val="auto"/>
          <w:sz w:val="28"/>
          <w:szCs w:val="28"/>
          <w:highlight w:val="none"/>
        </w:rPr>
      </w:pPr>
    </w:p>
    <w:tbl>
      <w:tblPr>
        <w:tblStyle w:val="32"/>
        <w:tblW w:w="8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2468"/>
        <w:gridCol w:w="396"/>
        <w:gridCol w:w="1404"/>
        <w:gridCol w:w="540"/>
        <w:gridCol w:w="166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jc w:val="center"/>
        </w:trPr>
        <w:tc>
          <w:tcPr>
            <w:tcW w:w="2032" w:type="dxa"/>
            <w:vAlign w:val="center"/>
          </w:tcPr>
          <w:p>
            <w:pPr>
              <w:spacing w:line="360" w:lineRule="atLeast"/>
              <w:jc w:val="center"/>
              <w:rPr>
                <w:rFonts w:hint="eastAsia" w:ascii="宋体"/>
                <w:color w:val="auto"/>
                <w:highlight w:val="none"/>
              </w:rPr>
            </w:pPr>
            <w:r>
              <w:rPr>
                <w:rFonts w:hint="eastAsia" w:ascii="宋体"/>
                <w:color w:val="auto"/>
                <w:highlight w:val="none"/>
              </w:rPr>
              <w:t>姓</w:t>
            </w:r>
            <w:r>
              <w:rPr>
                <w:rFonts w:ascii="宋体"/>
                <w:color w:val="auto"/>
                <w:highlight w:val="none"/>
              </w:rPr>
              <w:t xml:space="preserve">   </w:t>
            </w:r>
            <w:r>
              <w:rPr>
                <w:rFonts w:hint="eastAsia" w:ascii="宋体"/>
                <w:color w:val="auto"/>
                <w:highlight w:val="none"/>
              </w:rPr>
              <w:t>名</w:t>
            </w:r>
          </w:p>
        </w:tc>
        <w:tc>
          <w:tcPr>
            <w:tcW w:w="2468" w:type="dxa"/>
            <w:vAlign w:val="center"/>
          </w:tcPr>
          <w:p>
            <w:pPr>
              <w:spacing w:line="360" w:lineRule="atLeast"/>
              <w:jc w:val="center"/>
              <w:rPr>
                <w:rFonts w:hint="eastAsia" w:ascii="宋体"/>
                <w:color w:val="auto"/>
                <w:highlight w:val="none"/>
              </w:rPr>
            </w:pPr>
          </w:p>
        </w:tc>
        <w:tc>
          <w:tcPr>
            <w:tcW w:w="2340" w:type="dxa"/>
            <w:gridSpan w:val="3"/>
            <w:vAlign w:val="center"/>
          </w:tcPr>
          <w:p>
            <w:pPr>
              <w:spacing w:line="360" w:lineRule="atLeast"/>
              <w:jc w:val="center"/>
              <w:rPr>
                <w:rFonts w:hint="eastAsia" w:ascii="宋体"/>
                <w:color w:val="auto"/>
                <w:highlight w:val="none"/>
              </w:rPr>
            </w:pPr>
            <w:r>
              <w:rPr>
                <w:rFonts w:hint="eastAsia" w:ascii="宋体"/>
                <w:color w:val="auto"/>
                <w:highlight w:val="none"/>
              </w:rPr>
              <w:t>性</w:t>
            </w:r>
            <w:r>
              <w:rPr>
                <w:rFonts w:ascii="宋体"/>
                <w:color w:val="auto"/>
                <w:highlight w:val="none"/>
              </w:rPr>
              <w:t xml:space="preserve">  </w:t>
            </w:r>
            <w:r>
              <w:rPr>
                <w:rFonts w:hint="eastAsia" w:ascii="宋体"/>
                <w:color w:val="auto"/>
                <w:highlight w:val="none"/>
              </w:rPr>
              <w:t>别</w:t>
            </w:r>
          </w:p>
        </w:tc>
        <w:tc>
          <w:tcPr>
            <w:tcW w:w="1663" w:type="dxa"/>
            <w:vAlign w:val="center"/>
          </w:tcPr>
          <w:p>
            <w:pPr>
              <w:spacing w:line="360" w:lineRule="atLeast"/>
              <w:jc w:val="center"/>
              <w:rPr>
                <w:rFonts w:hint="eastAsia" w:asci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jc w:val="center"/>
        </w:trPr>
        <w:tc>
          <w:tcPr>
            <w:tcW w:w="2032" w:type="dxa"/>
            <w:vAlign w:val="center"/>
          </w:tcPr>
          <w:p>
            <w:pPr>
              <w:spacing w:line="360" w:lineRule="atLeast"/>
              <w:jc w:val="center"/>
              <w:rPr>
                <w:rFonts w:hint="eastAsia" w:ascii="宋体"/>
                <w:color w:val="auto"/>
                <w:highlight w:val="none"/>
              </w:rPr>
            </w:pPr>
            <w:r>
              <w:rPr>
                <w:rFonts w:hint="eastAsia" w:ascii="宋体"/>
                <w:color w:val="auto"/>
                <w:highlight w:val="none"/>
              </w:rPr>
              <w:t>职</w:t>
            </w:r>
            <w:r>
              <w:rPr>
                <w:rFonts w:ascii="宋体"/>
                <w:color w:val="auto"/>
                <w:highlight w:val="none"/>
              </w:rPr>
              <w:t xml:space="preserve">   </w:t>
            </w:r>
            <w:r>
              <w:rPr>
                <w:rFonts w:hint="eastAsia" w:ascii="宋体"/>
                <w:color w:val="auto"/>
                <w:highlight w:val="none"/>
              </w:rPr>
              <w:t>务</w:t>
            </w:r>
          </w:p>
        </w:tc>
        <w:tc>
          <w:tcPr>
            <w:tcW w:w="2468" w:type="dxa"/>
            <w:vAlign w:val="center"/>
          </w:tcPr>
          <w:p>
            <w:pPr>
              <w:spacing w:line="360" w:lineRule="atLeast"/>
              <w:jc w:val="center"/>
              <w:rPr>
                <w:rFonts w:hint="eastAsia" w:ascii="宋体"/>
                <w:color w:val="auto"/>
                <w:highlight w:val="none"/>
              </w:rPr>
            </w:pPr>
          </w:p>
        </w:tc>
        <w:tc>
          <w:tcPr>
            <w:tcW w:w="2340" w:type="dxa"/>
            <w:gridSpan w:val="3"/>
            <w:vAlign w:val="center"/>
          </w:tcPr>
          <w:p>
            <w:pPr>
              <w:spacing w:line="360" w:lineRule="atLeast"/>
              <w:jc w:val="center"/>
              <w:rPr>
                <w:rFonts w:hint="eastAsia" w:ascii="宋体"/>
                <w:color w:val="auto"/>
                <w:highlight w:val="none"/>
              </w:rPr>
            </w:pPr>
            <w:r>
              <w:rPr>
                <w:rFonts w:hint="eastAsia" w:ascii="宋体"/>
                <w:color w:val="auto"/>
                <w:highlight w:val="none"/>
              </w:rPr>
              <w:t>职</w:t>
            </w:r>
            <w:r>
              <w:rPr>
                <w:rFonts w:ascii="宋体"/>
                <w:color w:val="auto"/>
                <w:highlight w:val="none"/>
              </w:rPr>
              <w:t xml:space="preserve">  </w:t>
            </w:r>
            <w:r>
              <w:rPr>
                <w:rFonts w:hint="eastAsia" w:ascii="宋体"/>
                <w:color w:val="auto"/>
                <w:highlight w:val="none"/>
              </w:rPr>
              <w:t>称</w:t>
            </w:r>
          </w:p>
        </w:tc>
        <w:tc>
          <w:tcPr>
            <w:tcW w:w="1663" w:type="dxa"/>
            <w:vAlign w:val="center"/>
          </w:tcPr>
          <w:p>
            <w:pPr>
              <w:spacing w:line="360" w:lineRule="atLeast"/>
              <w:jc w:val="center"/>
              <w:rPr>
                <w:rFonts w:hint="eastAsia" w:asci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jc w:val="center"/>
        </w:trPr>
        <w:tc>
          <w:tcPr>
            <w:tcW w:w="2032" w:type="dxa"/>
            <w:vAlign w:val="center"/>
          </w:tcPr>
          <w:p>
            <w:pPr>
              <w:spacing w:line="360" w:lineRule="atLeast"/>
              <w:jc w:val="center"/>
              <w:rPr>
                <w:rFonts w:hint="eastAsia" w:ascii="宋体"/>
                <w:color w:val="auto"/>
                <w:highlight w:val="none"/>
              </w:rPr>
            </w:pPr>
            <w:r>
              <w:rPr>
                <w:rFonts w:hint="eastAsia" w:ascii="宋体"/>
                <w:color w:val="auto"/>
                <w:highlight w:val="none"/>
              </w:rPr>
              <w:t>毕业学校、专业</w:t>
            </w:r>
          </w:p>
        </w:tc>
        <w:tc>
          <w:tcPr>
            <w:tcW w:w="6471" w:type="dxa"/>
            <w:gridSpan w:val="5"/>
            <w:vAlign w:val="center"/>
          </w:tcPr>
          <w:p>
            <w:pPr>
              <w:spacing w:line="360" w:lineRule="atLeast"/>
              <w:jc w:val="center"/>
              <w:rPr>
                <w:rFonts w:hint="eastAsia" w:asci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vAlign w:val="center"/>
          </w:tcPr>
          <w:p>
            <w:pPr>
              <w:spacing w:line="360" w:lineRule="atLeast"/>
              <w:jc w:val="center"/>
              <w:rPr>
                <w:rFonts w:hint="eastAsia" w:ascii="宋体"/>
                <w:color w:val="auto"/>
                <w:highlight w:val="none"/>
              </w:rPr>
            </w:pPr>
            <w:r>
              <w:rPr>
                <w:rFonts w:hint="eastAsia" w:ascii="宋体"/>
                <w:color w:val="auto"/>
                <w:highlight w:val="none"/>
              </w:rPr>
              <w:t>身份证号</w:t>
            </w:r>
          </w:p>
        </w:tc>
        <w:tc>
          <w:tcPr>
            <w:tcW w:w="2468" w:type="dxa"/>
            <w:vAlign w:val="center"/>
          </w:tcPr>
          <w:p>
            <w:pPr>
              <w:spacing w:line="360" w:lineRule="atLeast"/>
              <w:jc w:val="center"/>
              <w:rPr>
                <w:rFonts w:hint="eastAsia" w:ascii="宋体"/>
                <w:color w:val="auto"/>
                <w:highlight w:val="none"/>
              </w:rPr>
            </w:pPr>
          </w:p>
        </w:tc>
        <w:tc>
          <w:tcPr>
            <w:tcW w:w="2340" w:type="dxa"/>
            <w:gridSpan w:val="3"/>
            <w:vAlign w:val="center"/>
          </w:tcPr>
          <w:p>
            <w:pPr>
              <w:spacing w:line="360" w:lineRule="atLeast"/>
              <w:jc w:val="center"/>
              <w:rPr>
                <w:rFonts w:hint="eastAsia" w:ascii="宋体"/>
                <w:color w:val="auto"/>
                <w:highlight w:val="none"/>
              </w:rPr>
            </w:pPr>
            <w:r>
              <w:rPr>
                <w:rFonts w:hint="eastAsia" w:ascii="宋体"/>
                <w:color w:val="auto"/>
                <w:highlight w:val="none"/>
              </w:rPr>
              <w:t>拟在本合同任职</w:t>
            </w:r>
          </w:p>
        </w:tc>
        <w:tc>
          <w:tcPr>
            <w:tcW w:w="1663" w:type="dxa"/>
            <w:vAlign w:val="center"/>
          </w:tcPr>
          <w:p>
            <w:pPr>
              <w:spacing w:line="360" w:lineRule="atLeast"/>
              <w:ind w:right="-105" w:rightChars="-50"/>
              <w:jc w:val="center"/>
              <w:rPr>
                <w:rFonts w:hint="eastAsia" w:asci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vAlign w:val="center"/>
          </w:tcPr>
          <w:p>
            <w:pPr>
              <w:spacing w:line="360" w:lineRule="atLeast"/>
              <w:jc w:val="center"/>
              <w:rPr>
                <w:rFonts w:hint="eastAsia" w:ascii="宋体"/>
                <w:color w:val="auto"/>
                <w:highlight w:val="none"/>
              </w:rPr>
            </w:pPr>
            <w:r>
              <w:rPr>
                <w:rFonts w:hint="eastAsia" w:ascii="宋体"/>
                <w:color w:val="auto"/>
                <w:highlight w:val="none"/>
              </w:rPr>
              <w:t>执业资格证</w:t>
            </w:r>
          </w:p>
        </w:tc>
        <w:tc>
          <w:tcPr>
            <w:tcW w:w="2468" w:type="dxa"/>
            <w:vAlign w:val="center"/>
          </w:tcPr>
          <w:p>
            <w:pPr>
              <w:spacing w:line="360" w:lineRule="atLeast"/>
              <w:jc w:val="center"/>
              <w:rPr>
                <w:rFonts w:hint="eastAsia" w:ascii="宋体"/>
                <w:color w:val="auto"/>
                <w:highlight w:val="none"/>
              </w:rPr>
            </w:pPr>
          </w:p>
        </w:tc>
        <w:tc>
          <w:tcPr>
            <w:tcW w:w="2340" w:type="dxa"/>
            <w:gridSpan w:val="3"/>
            <w:vAlign w:val="center"/>
          </w:tcPr>
          <w:p>
            <w:pPr>
              <w:spacing w:line="360" w:lineRule="atLeast"/>
              <w:jc w:val="center"/>
              <w:rPr>
                <w:rFonts w:hint="eastAsia" w:ascii="宋体"/>
                <w:color w:val="auto"/>
                <w:highlight w:val="none"/>
              </w:rPr>
            </w:pPr>
            <w:r>
              <w:rPr>
                <w:rFonts w:hint="eastAsia" w:ascii="宋体"/>
                <w:color w:val="auto"/>
                <w:highlight w:val="none"/>
              </w:rPr>
              <w:t>执业资格证书号</w:t>
            </w:r>
          </w:p>
        </w:tc>
        <w:tc>
          <w:tcPr>
            <w:tcW w:w="1663" w:type="dxa"/>
            <w:vAlign w:val="center"/>
          </w:tcPr>
          <w:p>
            <w:pPr>
              <w:rPr>
                <w:rFonts w:hint="eastAsia" w:asci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jc w:val="center"/>
        </w:trPr>
        <w:tc>
          <w:tcPr>
            <w:tcW w:w="8503" w:type="dxa"/>
            <w:gridSpan w:val="6"/>
            <w:vAlign w:val="center"/>
          </w:tcPr>
          <w:p>
            <w:pPr>
              <w:spacing w:line="360" w:lineRule="atLeast"/>
              <w:rPr>
                <w:rFonts w:hint="eastAsia" w:ascii="宋体"/>
                <w:color w:val="auto"/>
                <w:highlight w:val="none"/>
              </w:rPr>
            </w:pPr>
            <w:r>
              <w:rPr>
                <w:rFonts w:hint="eastAsia" w:ascii="宋体"/>
                <w:color w:val="auto"/>
                <w:highlight w:val="none"/>
              </w:rPr>
              <w:t>近三年承担项目情况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hint="eastAsia" w:ascii="宋体"/>
                <w:color w:val="auto"/>
                <w:highlight w:val="none"/>
              </w:rPr>
            </w:pPr>
            <w:r>
              <w:rPr>
                <w:rFonts w:hint="eastAsia" w:ascii="宋体"/>
                <w:color w:val="auto"/>
                <w:highlight w:val="none"/>
              </w:rPr>
              <w:t>时间</w:t>
            </w:r>
          </w:p>
        </w:tc>
        <w:tc>
          <w:tcPr>
            <w:tcW w:w="2864" w:type="dxa"/>
            <w:gridSpan w:val="2"/>
            <w:vAlign w:val="center"/>
          </w:tcPr>
          <w:p>
            <w:pPr>
              <w:spacing w:line="360" w:lineRule="atLeast"/>
              <w:jc w:val="center"/>
              <w:rPr>
                <w:rFonts w:hint="eastAsia" w:ascii="宋体"/>
                <w:color w:val="auto"/>
                <w:highlight w:val="none"/>
              </w:rPr>
            </w:pPr>
            <w:r>
              <w:rPr>
                <w:rFonts w:hint="eastAsia" w:ascii="宋体"/>
                <w:color w:val="auto"/>
                <w:highlight w:val="none"/>
              </w:rPr>
              <w:t>类似项目名称</w:t>
            </w:r>
          </w:p>
        </w:tc>
        <w:tc>
          <w:tcPr>
            <w:tcW w:w="1404" w:type="dxa"/>
            <w:vAlign w:val="center"/>
          </w:tcPr>
          <w:p>
            <w:pPr>
              <w:spacing w:line="360" w:lineRule="atLeast"/>
              <w:jc w:val="center"/>
              <w:rPr>
                <w:rFonts w:hint="eastAsia" w:ascii="宋体"/>
                <w:color w:val="auto"/>
                <w:highlight w:val="none"/>
              </w:rPr>
            </w:pPr>
            <w:r>
              <w:rPr>
                <w:rFonts w:hint="eastAsia" w:ascii="宋体"/>
                <w:color w:val="auto"/>
                <w:highlight w:val="none"/>
              </w:rPr>
              <w:t>担任职务</w:t>
            </w:r>
          </w:p>
        </w:tc>
        <w:tc>
          <w:tcPr>
            <w:tcW w:w="2203" w:type="dxa"/>
            <w:gridSpan w:val="2"/>
            <w:vAlign w:val="center"/>
          </w:tcPr>
          <w:p>
            <w:pPr>
              <w:spacing w:line="360" w:lineRule="atLeast"/>
              <w:jc w:val="center"/>
              <w:rPr>
                <w:rFonts w:hint="eastAsia" w:ascii="宋体"/>
                <w:color w:val="auto"/>
                <w:highlight w:val="none"/>
              </w:rPr>
            </w:pPr>
            <w:r>
              <w:rPr>
                <w:rFonts w:hint="eastAsia" w:ascii="宋体"/>
                <w:color w:val="auto"/>
                <w:highlight w:val="none"/>
              </w:rPr>
              <w:t>项目单位名称及电话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hint="eastAsia" w:ascii="宋体"/>
                <w:color w:val="auto"/>
                <w:highlight w:val="none"/>
              </w:rPr>
            </w:pPr>
          </w:p>
        </w:tc>
        <w:tc>
          <w:tcPr>
            <w:tcW w:w="2864" w:type="dxa"/>
            <w:gridSpan w:val="2"/>
            <w:vAlign w:val="center"/>
          </w:tcPr>
          <w:p>
            <w:pPr>
              <w:spacing w:line="360" w:lineRule="atLeast"/>
              <w:jc w:val="center"/>
              <w:rPr>
                <w:rFonts w:hint="eastAsia" w:ascii="宋体"/>
                <w:color w:val="auto"/>
                <w:highlight w:val="none"/>
              </w:rPr>
            </w:pPr>
          </w:p>
        </w:tc>
        <w:tc>
          <w:tcPr>
            <w:tcW w:w="1404" w:type="dxa"/>
            <w:vAlign w:val="center"/>
          </w:tcPr>
          <w:p>
            <w:pPr>
              <w:spacing w:line="360" w:lineRule="atLeast"/>
              <w:jc w:val="center"/>
              <w:rPr>
                <w:rFonts w:hint="eastAsia" w:ascii="宋体"/>
                <w:color w:val="auto"/>
                <w:highlight w:val="none"/>
              </w:rPr>
            </w:pPr>
          </w:p>
        </w:tc>
        <w:tc>
          <w:tcPr>
            <w:tcW w:w="2203" w:type="dxa"/>
            <w:gridSpan w:val="2"/>
            <w:vAlign w:val="center"/>
          </w:tcPr>
          <w:p>
            <w:pPr>
              <w:spacing w:line="360" w:lineRule="atLeast"/>
              <w:jc w:val="center"/>
              <w:rPr>
                <w:rFonts w:hint="eastAsia" w:asci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hint="eastAsia" w:ascii="宋体"/>
                <w:color w:val="auto"/>
                <w:highlight w:val="none"/>
              </w:rPr>
            </w:pPr>
          </w:p>
        </w:tc>
        <w:tc>
          <w:tcPr>
            <w:tcW w:w="2864" w:type="dxa"/>
            <w:gridSpan w:val="2"/>
            <w:vAlign w:val="center"/>
          </w:tcPr>
          <w:p>
            <w:pPr>
              <w:spacing w:line="360" w:lineRule="atLeast"/>
              <w:jc w:val="center"/>
              <w:rPr>
                <w:rFonts w:hint="eastAsia" w:ascii="宋体"/>
                <w:color w:val="auto"/>
                <w:highlight w:val="none"/>
              </w:rPr>
            </w:pPr>
          </w:p>
        </w:tc>
        <w:tc>
          <w:tcPr>
            <w:tcW w:w="1404" w:type="dxa"/>
            <w:vAlign w:val="center"/>
          </w:tcPr>
          <w:p>
            <w:pPr>
              <w:spacing w:line="360" w:lineRule="atLeast"/>
              <w:jc w:val="center"/>
              <w:rPr>
                <w:rFonts w:hint="eastAsia" w:ascii="宋体"/>
                <w:color w:val="auto"/>
                <w:highlight w:val="none"/>
              </w:rPr>
            </w:pPr>
          </w:p>
        </w:tc>
        <w:tc>
          <w:tcPr>
            <w:tcW w:w="2203" w:type="dxa"/>
            <w:gridSpan w:val="2"/>
            <w:vAlign w:val="center"/>
          </w:tcPr>
          <w:p>
            <w:pPr>
              <w:spacing w:line="360" w:lineRule="atLeast"/>
              <w:jc w:val="center"/>
              <w:rPr>
                <w:rFonts w:hint="eastAsia" w:asci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hint="eastAsia" w:ascii="宋体"/>
                <w:color w:val="auto"/>
                <w:highlight w:val="none"/>
              </w:rPr>
            </w:pPr>
          </w:p>
        </w:tc>
        <w:tc>
          <w:tcPr>
            <w:tcW w:w="2864" w:type="dxa"/>
            <w:gridSpan w:val="2"/>
            <w:vAlign w:val="center"/>
          </w:tcPr>
          <w:p>
            <w:pPr>
              <w:spacing w:line="360" w:lineRule="atLeast"/>
              <w:jc w:val="center"/>
              <w:rPr>
                <w:rFonts w:hint="eastAsia" w:ascii="宋体"/>
                <w:color w:val="auto"/>
                <w:highlight w:val="none"/>
              </w:rPr>
            </w:pPr>
          </w:p>
        </w:tc>
        <w:tc>
          <w:tcPr>
            <w:tcW w:w="1404" w:type="dxa"/>
            <w:vAlign w:val="center"/>
          </w:tcPr>
          <w:p>
            <w:pPr>
              <w:spacing w:line="360" w:lineRule="atLeast"/>
              <w:jc w:val="center"/>
              <w:rPr>
                <w:rFonts w:hint="eastAsia" w:ascii="宋体"/>
                <w:color w:val="auto"/>
                <w:highlight w:val="none"/>
              </w:rPr>
            </w:pPr>
          </w:p>
        </w:tc>
        <w:tc>
          <w:tcPr>
            <w:tcW w:w="2203" w:type="dxa"/>
            <w:gridSpan w:val="2"/>
            <w:vAlign w:val="center"/>
          </w:tcPr>
          <w:p>
            <w:pPr>
              <w:spacing w:line="360" w:lineRule="atLeast"/>
              <w:jc w:val="center"/>
              <w:rPr>
                <w:rFonts w:hint="eastAsia" w:asci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hint="eastAsia" w:ascii="宋体"/>
                <w:color w:val="auto"/>
                <w:highlight w:val="none"/>
              </w:rPr>
            </w:pPr>
          </w:p>
        </w:tc>
        <w:tc>
          <w:tcPr>
            <w:tcW w:w="2864" w:type="dxa"/>
            <w:gridSpan w:val="2"/>
            <w:vAlign w:val="center"/>
          </w:tcPr>
          <w:p>
            <w:pPr>
              <w:spacing w:line="360" w:lineRule="atLeast"/>
              <w:jc w:val="center"/>
              <w:rPr>
                <w:rFonts w:hint="eastAsia" w:ascii="宋体"/>
                <w:color w:val="auto"/>
                <w:highlight w:val="none"/>
              </w:rPr>
            </w:pPr>
          </w:p>
        </w:tc>
        <w:tc>
          <w:tcPr>
            <w:tcW w:w="1404" w:type="dxa"/>
            <w:vAlign w:val="center"/>
          </w:tcPr>
          <w:p>
            <w:pPr>
              <w:spacing w:line="360" w:lineRule="atLeast"/>
              <w:jc w:val="center"/>
              <w:rPr>
                <w:rFonts w:hint="eastAsia" w:ascii="宋体"/>
                <w:color w:val="auto"/>
                <w:highlight w:val="none"/>
              </w:rPr>
            </w:pPr>
          </w:p>
        </w:tc>
        <w:tc>
          <w:tcPr>
            <w:tcW w:w="2203" w:type="dxa"/>
            <w:gridSpan w:val="2"/>
            <w:vAlign w:val="center"/>
          </w:tcPr>
          <w:p>
            <w:pPr>
              <w:spacing w:line="360" w:lineRule="atLeast"/>
              <w:jc w:val="center"/>
              <w:rPr>
                <w:rFonts w:hint="eastAsia" w:asci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hint="eastAsia" w:ascii="宋体"/>
                <w:color w:val="auto"/>
                <w:highlight w:val="none"/>
              </w:rPr>
            </w:pPr>
          </w:p>
        </w:tc>
        <w:tc>
          <w:tcPr>
            <w:tcW w:w="2864" w:type="dxa"/>
            <w:gridSpan w:val="2"/>
            <w:vAlign w:val="center"/>
          </w:tcPr>
          <w:p>
            <w:pPr>
              <w:spacing w:line="360" w:lineRule="atLeast"/>
              <w:jc w:val="center"/>
              <w:rPr>
                <w:rFonts w:hint="eastAsia" w:ascii="宋体"/>
                <w:color w:val="auto"/>
                <w:highlight w:val="none"/>
              </w:rPr>
            </w:pPr>
          </w:p>
        </w:tc>
        <w:tc>
          <w:tcPr>
            <w:tcW w:w="1404" w:type="dxa"/>
            <w:vAlign w:val="center"/>
          </w:tcPr>
          <w:p>
            <w:pPr>
              <w:spacing w:line="360" w:lineRule="atLeast"/>
              <w:jc w:val="center"/>
              <w:rPr>
                <w:rFonts w:hint="eastAsia" w:ascii="宋体"/>
                <w:color w:val="auto"/>
                <w:highlight w:val="none"/>
              </w:rPr>
            </w:pPr>
          </w:p>
        </w:tc>
        <w:tc>
          <w:tcPr>
            <w:tcW w:w="2203" w:type="dxa"/>
            <w:gridSpan w:val="2"/>
            <w:vAlign w:val="center"/>
          </w:tcPr>
          <w:p>
            <w:pPr>
              <w:spacing w:line="360" w:lineRule="atLeast"/>
              <w:jc w:val="center"/>
              <w:rPr>
                <w:rFonts w:hint="eastAsia" w:asci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hint="eastAsia" w:ascii="宋体"/>
                <w:color w:val="auto"/>
                <w:highlight w:val="none"/>
              </w:rPr>
            </w:pPr>
          </w:p>
        </w:tc>
        <w:tc>
          <w:tcPr>
            <w:tcW w:w="2864" w:type="dxa"/>
            <w:gridSpan w:val="2"/>
            <w:vAlign w:val="center"/>
          </w:tcPr>
          <w:p>
            <w:pPr>
              <w:spacing w:line="360" w:lineRule="atLeast"/>
              <w:jc w:val="center"/>
              <w:rPr>
                <w:rFonts w:hint="eastAsia" w:ascii="宋体"/>
                <w:color w:val="auto"/>
                <w:highlight w:val="none"/>
              </w:rPr>
            </w:pPr>
          </w:p>
        </w:tc>
        <w:tc>
          <w:tcPr>
            <w:tcW w:w="1404" w:type="dxa"/>
            <w:vAlign w:val="center"/>
          </w:tcPr>
          <w:p>
            <w:pPr>
              <w:spacing w:line="360" w:lineRule="atLeast"/>
              <w:jc w:val="center"/>
              <w:rPr>
                <w:rFonts w:hint="eastAsia" w:ascii="宋体"/>
                <w:color w:val="auto"/>
                <w:highlight w:val="none"/>
              </w:rPr>
            </w:pPr>
          </w:p>
        </w:tc>
        <w:tc>
          <w:tcPr>
            <w:tcW w:w="2203" w:type="dxa"/>
            <w:gridSpan w:val="2"/>
            <w:vAlign w:val="center"/>
          </w:tcPr>
          <w:p>
            <w:pPr>
              <w:spacing w:line="360" w:lineRule="atLeast"/>
              <w:jc w:val="center"/>
              <w:rPr>
                <w:rFonts w:hint="eastAsia" w:asci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hint="eastAsia" w:ascii="宋体"/>
                <w:color w:val="auto"/>
                <w:highlight w:val="none"/>
              </w:rPr>
            </w:pPr>
          </w:p>
        </w:tc>
        <w:tc>
          <w:tcPr>
            <w:tcW w:w="2864" w:type="dxa"/>
            <w:gridSpan w:val="2"/>
            <w:vAlign w:val="center"/>
          </w:tcPr>
          <w:p>
            <w:pPr>
              <w:spacing w:line="360" w:lineRule="atLeast"/>
              <w:jc w:val="center"/>
              <w:rPr>
                <w:rFonts w:hint="eastAsia" w:ascii="宋体"/>
                <w:color w:val="auto"/>
                <w:highlight w:val="none"/>
              </w:rPr>
            </w:pPr>
          </w:p>
        </w:tc>
        <w:tc>
          <w:tcPr>
            <w:tcW w:w="1404" w:type="dxa"/>
            <w:vAlign w:val="center"/>
          </w:tcPr>
          <w:p>
            <w:pPr>
              <w:spacing w:line="360" w:lineRule="atLeast"/>
              <w:jc w:val="center"/>
              <w:rPr>
                <w:rFonts w:hint="eastAsia" w:ascii="宋体"/>
                <w:color w:val="auto"/>
                <w:highlight w:val="none"/>
              </w:rPr>
            </w:pPr>
          </w:p>
        </w:tc>
        <w:tc>
          <w:tcPr>
            <w:tcW w:w="2203" w:type="dxa"/>
            <w:gridSpan w:val="2"/>
            <w:vAlign w:val="center"/>
          </w:tcPr>
          <w:p>
            <w:pPr>
              <w:spacing w:line="360" w:lineRule="atLeast"/>
              <w:jc w:val="center"/>
              <w:rPr>
                <w:rFonts w:hint="eastAsia" w:asci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hint="eastAsia" w:ascii="宋体"/>
                <w:color w:val="auto"/>
                <w:highlight w:val="none"/>
              </w:rPr>
            </w:pPr>
          </w:p>
        </w:tc>
        <w:tc>
          <w:tcPr>
            <w:tcW w:w="2864" w:type="dxa"/>
            <w:gridSpan w:val="2"/>
            <w:vAlign w:val="center"/>
          </w:tcPr>
          <w:p>
            <w:pPr>
              <w:spacing w:line="360" w:lineRule="atLeast"/>
              <w:jc w:val="center"/>
              <w:rPr>
                <w:rFonts w:hint="eastAsia" w:ascii="宋体"/>
                <w:color w:val="auto"/>
                <w:highlight w:val="none"/>
              </w:rPr>
            </w:pPr>
          </w:p>
        </w:tc>
        <w:tc>
          <w:tcPr>
            <w:tcW w:w="1404" w:type="dxa"/>
            <w:vAlign w:val="center"/>
          </w:tcPr>
          <w:p>
            <w:pPr>
              <w:spacing w:line="360" w:lineRule="atLeast"/>
              <w:jc w:val="center"/>
              <w:rPr>
                <w:rFonts w:hint="eastAsia" w:ascii="宋体"/>
                <w:color w:val="auto"/>
                <w:highlight w:val="none"/>
              </w:rPr>
            </w:pPr>
          </w:p>
        </w:tc>
        <w:tc>
          <w:tcPr>
            <w:tcW w:w="2203" w:type="dxa"/>
            <w:gridSpan w:val="2"/>
            <w:vAlign w:val="center"/>
          </w:tcPr>
          <w:p>
            <w:pPr>
              <w:spacing w:line="360" w:lineRule="atLeast"/>
              <w:jc w:val="center"/>
              <w:rPr>
                <w:rFonts w:hint="eastAsia" w:asci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hint="eastAsia" w:ascii="宋体"/>
                <w:color w:val="auto"/>
                <w:highlight w:val="none"/>
              </w:rPr>
            </w:pPr>
          </w:p>
        </w:tc>
        <w:tc>
          <w:tcPr>
            <w:tcW w:w="2864" w:type="dxa"/>
            <w:gridSpan w:val="2"/>
            <w:vAlign w:val="center"/>
          </w:tcPr>
          <w:p>
            <w:pPr>
              <w:spacing w:line="360" w:lineRule="atLeast"/>
              <w:jc w:val="center"/>
              <w:rPr>
                <w:rFonts w:hint="eastAsia" w:ascii="宋体"/>
                <w:color w:val="auto"/>
                <w:highlight w:val="none"/>
              </w:rPr>
            </w:pPr>
          </w:p>
        </w:tc>
        <w:tc>
          <w:tcPr>
            <w:tcW w:w="1404" w:type="dxa"/>
            <w:vAlign w:val="center"/>
          </w:tcPr>
          <w:p>
            <w:pPr>
              <w:spacing w:line="360" w:lineRule="atLeast"/>
              <w:jc w:val="center"/>
              <w:rPr>
                <w:rFonts w:hint="eastAsia" w:ascii="宋体"/>
                <w:color w:val="auto"/>
                <w:highlight w:val="none"/>
              </w:rPr>
            </w:pPr>
          </w:p>
        </w:tc>
        <w:tc>
          <w:tcPr>
            <w:tcW w:w="2203" w:type="dxa"/>
            <w:gridSpan w:val="2"/>
            <w:vAlign w:val="center"/>
          </w:tcPr>
          <w:p>
            <w:pPr>
              <w:spacing w:line="360" w:lineRule="atLeast"/>
              <w:jc w:val="center"/>
              <w:rPr>
                <w:rFonts w:hint="eastAsia" w:ascii="宋体"/>
                <w:color w:val="auto"/>
                <w:highlight w:val="none"/>
              </w:rPr>
            </w:pPr>
          </w:p>
        </w:tc>
      </w:tr>
    </w:tbl>
    <w:p>
      <w:pPr>
        <w:spacing w:line="360" w:lineRule="atLeast"/>
        <w:rPr>
          <w:rFonts w:hint="eastAsia" w:ascii="仿宋_GB2312" w:eastAsia="仿宋_GB2312"/>
          <w:color w:val="auto"/>
          <w:highlight w:val="none"/>
        </w:rPr>
      </w:pPr>
      <w:r>
        <w:rPr>
          <w:rFonts w:hint="eastAsia" w:ascii="仿宋_GB2312" w:hAnsi="宋体" w:eastAsia="仿宋_GB2312"/>
          <w:color w:val="auto"/>
          <w:szCs w:val="21"/>
          <w:highlight w:val="none"/>
        </w:rPr>
        <w:t>说明</w:t>
      </w:r>
      <w:r>
        <w:rPr>
          <w:rFonts w:hint="eastAsia" w:ascii="仿宋_GB2312" w:eastAsia="仿宋_GB2312"/>
          <w:color w:val="auto"/>
          <w:highlight w:val="none"/>
        </w:rPr>
        <w:t>：</w:t>
      </w:r>
      <w:r>
        <w:rPr>
          <w:rFonts w:hint="eastAsia" w:ascii="仿宋_GB2312" w:hAnsi="宋体" w:eastAsia="仿宋_GB2312"/>
          <w:color w:val="auto"/>
          <w:szCs w:val="21"/>
          <w:highlight w:val="none"/>
        </w:rPr>
        <w:t>主要人员证书、</w:t>
      </w:r>
      <w:r>
        <w:rPr>
          <w:rFonts w:hint="eastAsia" w:ascii="仿宋_GB2312" w:eastAsia="仿宋_GB2312"/>
          <w:color w:val="auto"/>
          <w:highlight w:val="none"/>
        </w:rPr>
        <w:t>类似项目证明资料等按第二章第</w:t>
      </w:r>
      <w:r>
        <w:rPr>
          <w:rFonts w:hint="eastAsia" w:ascii="仿宋_GB2312" w:hAnsi="宋体" w:eastAsia="仿宋_GB2312"/>
          <w:color w:val="auto"/>
          <w:highlight w:val="none"/>
        </w:rPr>
        <w:t>42.1款</w:t>
      </w:r>
      <w:r>
        <w:rPr>
          <w:rFonts w:hint="eastAsia" w:ascii="仿宋_GB2312" w:eastAsia="仿宋_GB2312"/>
          <w:color w:val="auto"/>
          <w:highlight w:val="none"/>
        </w:rPr>
        <w:t>或第四章要求提供。</w:t>
      </w:r>
    </w:p>
    <w:p>
      <w:pPr>
        <w:rPr>
          <w:rFonts w:hint="eastAsia" w:ascii="宋体" w:hAnsi="宋体"/>
          <w:color w:val="auto"/>
          <w:szCs w:val="21"/>
          <w:highlight w:val="none"/>
        </w:rPr>
      </w:pPr>
    </w:p>
    <w:p>
      <w:pPr>
        <w:bidi w:val="0"/>
        <w:rPr>
          <w:rFonts w:hint="eastAsia" w:ascii="宋体" w:hAnsi="宋体"/>
          <w:bCs/>
          <w:color w:val="auto"/>
          <w:sz w:val="21"/>
          <w:szCs w:val="21"/>
          <w:highlight w:val="none"/>
        </w:rPr>
      </w:pPr>
      <w:r>
        <w:rPr>
          <w:rFonts w:hint="eastAsia" w:ascii="宋体" w:hAnsi="宋体"/>
          <w:color w:val="auto"/>
          <w:sz w:val="21"/>
          <w:szCs w:val="21"/>
          <w:highlight w:val="none"/>
        </w:rPr>
        <w:t>供应商名称：</w:t>
      </w:r>
      <w:r>
        <w:rPr>
          <w:rFonts w:hint="eastAsia" w:ascii="宋体" w:hAnsi="宋体"/>
          <w:color w:val="auto"/>
          <w:sz w:val="21"/>
          <w:szCs w:val="21"/>
          <w:highlight w:val="none"/>
          <w:u w:val="single"/>
        </w:rPr>
        <w:t xml:space="preserve">                </w:t>
      </w:r>
    </w:p>
    <w:p>
      <w:pPr>
        <w:bidi w:val="0"/>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u w:val="single"/>
        </w:rPr>
        <w:t xml:space="preserve">              </w:t>
      </w:r>
      <w:r>
        <w:rPr>
          <w:rFonts w:hint="eastAsia" w:ascii="宋体" w:hAnsi="宋体"/>
          <w:color w:val="auto"/>
          <w:szCs w:val="21"/>
          <w:highlight w:val="none"/>
        </w:rPr>
        <w:t>_</w:t>
      </w:r>
    </w:p>
    <w:p>
      <w:pPr>
        <w:bidi w:val="0"/>
        <w:rPr>
          <w:rFonts w:hint="eastAsia" w:ascii="宋体"/>
          <w:color w:val="auto"/>
          <w:highlight w:val="none"/>
        </w:rPr>
      </w:pPr>
      <w:r>
        <w:rPr>
          <w:rFonts w:hint="eastAsia" w:ascii="宋体" w:hAnsi="宋体"/>
          <w:color w:val="auto"/>
          <w:szCs w:val="21"/>
          <w:highlight w:val="none"/>
        </w:rPr>
        <w:t xml:space="preserve">日期：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pPr>
        <w:adjustRightInd w:val="0"/>
        <w:snapToGrid w:val="0"/>
        <w:spacing w:line="360" w:lineRule="auto"/>
        <w:jc w:val="center"/>
        <w:outlineLvl w:val="9"/>
        <w:rPr>
          <w:rFonts w:hint="eastAsia" w:ascii="黑体" w:eastAsia="黑体"/>
          <w:b/>
          <w:color w:val="auto"/>
          <w:sz w:val="30"/>
          <w:szCs w:val="30"/>
          <w:highlight w:val="none"/>
        </w:rPr>
      </w:pPr>
    </w:p>
    <w:p>
      <w:pPr>
        <w:adjustRightInd w:val="0"/>
        <w:snapToGrid w:val="0"/>
        <w:spacing w:line="360" w:lineRule="auto"/>
        <w:jc w:val="center"/>
        <w:outlineLvl w:val="9"/>
        <w:rPr>
          <w:rFonts w:hint="eastAsia" w:ascii="黑体" w:eastAsia="黑体"/>
          <w:b/>
          <w:color w:val="auto"/>
          <w:sz w:val="30"/>
          <w:szCs w:val="30"/>
          <w:highlight w:val="none"/>
        </w:rPr>
      </w:pPr>
    </w:p>
    <w:p>
      <w:pPr>
        <w:adjustRightInd w:val="0"/>
        <w:snapToGrid w:val="0"/>
        <w:spacing w:line="360" w:lineRule="auto"/>
        <w:jc w:val="center"/>
        <w:outlineLvl w:val="9"/>
        <w:rPr>
          <w:rFonts w:hint="eastAsia" w:ascii="黑体" w:eastAsia="黑体"/>
          <w:b/>
          <w:color w:val="auto"/>
          <w:sz w:val="30"/>
          <w:szCs w:val="30"/>
          <w:highlight w:val="none"/>
        </w:rPr>
      </w:pPr>
    </w:p>
    <w:p>
      <w:pPr>
        <w:bidi w:val="0"/>
        <w:jc w:val="center"/>
        <w:rPr>
          <w:rFonts w:hint="eastAsia"/>
          <w:b/>
          <w:bCs/>
          <w:color w:val="auto"/>
          <w:sz w:val="28"/>
          <w:szCs w:val="28"/>
          <w:highlight w:val="none"/>
        </w:rPr>
      </w:pPr>
      <w:r>
        <w:rPr>
          <w:rFonts w:hint="eastAsia"/>
          <w:b/>
          <w:bCs/>
          <w:color w:val="auto"/>
          <w:sz w:val="28"/>
          <w:szCs w:val="28"/>
          <w:highlight w:val="none"/>
          <w:lang w:val="en-US" w:eastAsia="zh-CN"/>
        </w:rPr>
        <w:t>五</w:t>
      </w:r>
      <w:r>
        <w:rPr>
          <w:rFonts w:hint="eastAsia"/>
          <w:b/>
          <w:bCs/>
          <w:color w:val="auto"/>
          <w:sz w:val="28"/>
          <w:szCs w:val="28"/>
          <w:highlight w:val="none"/>
        </w:rPr>
        <w:t>、技术/商务响应与偏离表</w:t>
      </w:r>
    </w:p>
    <w:p>
      <w:pPr>
        <w:adjustRightInd w:val="0"/>
        <w:snapToGrid w:val="0"/>
        <w:ind w:left="-88" w:leftChars="-42" w:firstLine="315" w:firstLineChars="150"/>
        <w:rPr>
          <w:rFonts w:hint="eastAsia" w:ascii="宋体" w:hAnsi="宋体"/>
          <w:color w:val="auto"/>
          <w:szCs w:val="21"/>
          <w:highlight w:val="none"/>
          <w:u w:val="single"/>
        </w:rPr>
      </w:pPr>
    </w:p>
    <w:tbl>
      <w:tblPr>
        <w:tblStyle w:val="32"/>
        <w:tblW w:w="87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214"/>
        <w:gridCol w:w="66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vAlign w:val="center"/>
          </w:tcPr>
          <w:p>
            <w:pPr>
              <w:adjustRightInd w:val="0"/>
              <w:snapToGrid w:val="0"/>
              <w:ind w:left="-88" w:leftChars="-42"/>
              <w:jc w:val="center"/>
              <w:rPr>
                <w:rFonts w:hint="eastAsia" w:ascii="宋体" w:hAnsi="宋体"/>
                <w:bCs/>
                <w:color w:val="auto"/>
                <w:szCs w:val="21"/>
                <w:highlight w:val="none"/>
              </w:rPr>
            </w:pPr>
            <w:r>
              <w:rPr>
                <w:rFonts w:hint="eastAsia" w:ascii="宋体" w:hAnsi="宋体"/>
                <w:bCs/>
                <w:color w:val="auto"/>
                <w:szCs w:val="21"/>
                <w:highlight w:val="none"/>
              </w:rPr>
              <w:t>序号</w:t>
            </w:r>
          </w:p>
        </w:tc>
        <w:tc>
          <w:tcPr>
            <w:tcW w:w="1685" w:type="dxa"/>
            <w:vAlign w:val="center"/>
          </w:tcPr>
          <w:p>
            <w:pPr>
              <w:adjustRightInd w:val="0"/>
              <w:snapToGrid w:val="0"/>
              <w:ind w:left="-88" w:leftChars="-42"/>
              <w:jc w:val="center"/>
              <w:rPr>
                <w:rFonts w:hint="eastAsia" w:ascii="宋体" w:hAnsi="宋体"/>
                <w:color w:val="auto"/>
                <w:szCs w:val="21"/>
                <w:highlight w:val="none"/>
              </w:rPr>
            </w:pPr>
            <w:r>
              <w:rPr>
                <w:rFonts w:hint="eastAsia" w:ascii="宋体" w:hAnsi="宋体"/>
                <w:color w:val="auto"/>
                <w:szCs w:val="21"/>
                <w:highlight w:val="none"/>
              </w:rPr>
              <w:t>磋商文件条目号</w:t>
            </w:r>
          </w:p>
        </w:tc>
        <w:tc>
          <w:tcPr>
            <w:tcW w:w="1948" w:type="dxa"/>
            <w:vAlign w:val="center"/>
          </w:tcPr>
          <w:p>
            <w:pPr>
              <w:adjustRightInd w:val="0"/>
              <w:snapToGrid w:val="0"/>
              <w:ind w:left="-88" w:leftChars="-42"/>
              <w:jc w:val="center"/>
              <w:rPr>
                <w:rFonts w:hint="eastAsia" w:ascii="宋体" w:hAnsi="宋体"/>
                <w:color w:val="auto"/>
                <w:szCs w:val="21"/>
                <w:highlight w:val="none"/>
              </w:rPr>
            </w:pPr>
            <w:r>
              <w:rPr>
                <w:rFonts w:hint="eastAsia" w:ascii="宋体" w:hAnsi="宋体"/>
                <w:color w:val="auto"/>
                <w:szCs w:val="21"/>
                <w:highlight w:val="none"/>
              </w:rPr>
              <w:t>采购规格/商务条款</w:t>
            </w:r>
          </w:p>
        </w:tc>
        <w:tc>
          <w:tcPr>
            <w:tcW w:w="2600" w:type="dxa"/>
            <w:vAlign w:val="center"/>
          </w:tcPr>
          <w:p>
            <w:pPr>
              <w:adjustRightInd w:val="0"/>
              <w:snapToGrid w:val="0"/>
              <w:ind w:left="-88" w:leftChars="-42"/>
              <w:jc w:val="center"/>
              <w:rPr>
                <w:rFonts w:hint="eastAsia" w:ascii="宋体" w:hAnsi="宋体"/>
                <w:color w:val="auto"/>
                <w:szCs w:val="21"/>
                <w:highlight w:val="none"/>
              </w:rPr>
            </w:pPr>
            <w:r>
              <w:rPr>
                <w:rFonts w:hint="eastAsia" w:ascii="宋体" w:hAnsi="宋体"/>
                <w:color w:val="auto"/>
                <w:szCs w:val="21"/>
                <w:highlight w:val="none"/>
              </w:rPr>
              <w:t>响应文件的规格/商务条款</w:t>
            </w:r>
          </w:p>
        </w:tc>
        <w:tc>
          <w:tcPr>
            <w:tcW w:w="1214" w:type="dxa"/>
            <w:vAlign w:val="center"/>
          </w:tcPr>
          <w:p>
            <w:pPr>
              <w:adjustRightInd w:val="0"/>
              <w:snapToGrid w:val="0"/>
              <w:ind w:left="-88" w:leftChars="-42"/>
              <w:jc w:val="center"/>
              <w:rPr>
                <w:rFonts w:hint="eastAsia" w:ascii="宋体" w:hAnsi="宋体"/>
                <w:color w:val="auto"/>
                <w:szCs w:val="21"/>
                <w:highlight w:val="none"/>
              </w:rPr>
            </w:pPr>
            <w:r>
              <w:rPr>
                <w:rFonts w:hint="eastAsia" w:ascii="宋体" w:hAnsi="宋体"/>
                <w:color w:val="auto"/>
                <w:szCs w:val="21"/>
                <w:highlight w:val="none"/>
              </w:rPr>
              <w:t>响应与偏离</w:t>
            </w:r>
          </w:p>
        </w:tc>
        <w:tc>
          <w:tcPr>
            <w:tcW w:w="661" w:type="dxa"/>
            <w:vAlign w:val="center"/>
          </w:tcPr>
          <w:p>
            <w:pPr>
              <w:adjustRightInd w:val="0"/>
              <w:snapToGrid w:val="0"/>
              <w:ind w:left="-88" w:leftChars="-42"/>
              <w:jc w:val="center"/>
              <w:rPr>
                <w:rFonts w:hint="eastAsia" w:ascii="宋体" w:hAnsi="宋体"/>
                <w:color w:val="auto"/>
                <w:szCs w:val="21"/>
                <w:highlight w:val="none"/>
              </w:rPr>
            </w:pPr>
            <w:r>
              <w:rPr>
                <w:rFonts w:hint="eastAsia" w:ascii="宋体" w:hAnsi="宋体"/>
                <w:color w:val="auto"/>
                <w:szCs w:val="21"/>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hint="eastAsia" w:ascii="宋体" w:hAnsi="宋体"/>
                <w:color w:val="auto"/>
                <w:szCs w:val="21"/>
                <w:highlight w:val="none"/>
              </w:rPr>
            </w:pPr>
          </w:p>
        </w:tc>
        <w:tc>
          <w:tcPr>
            <w:tcW w:w="1685" w:type="dxa"/>
            <w:vAlign w:val="center"/>
          </w:tcPr>
          <w:p>
            <w:pPr>
              <w:adjustRightInd w:val="0"/>
              <w:snapToGrid w:val="0"/>
              <w:ind w:left="-88" w:leftChars="-42"/>
              <w:jc w:val="center"/>
              <w:rPr>
                <w:rFonts w:hint="eastAsia" w:ascii="宋体" w:hAnsi="宋体"/>
                <w:color w:val="auto"/>
                <w:szCs w:val="21"/>
                <w:highlight w:val="none"/>
              </w:rPr>
            </w:pPr>
          </w:p>
        </w:tc>
        <w:tc>
          <w:tcPr>
            <w:tcW w:w="1948" w:type="dxa"/>
            <w:vAlign w:val="center"/>
          </w:tcPr>
          <w:p>
            <w:pPr>
              <w:adjustRightInd w:val="0"/>
              <w:snapToGrid w:val="0"/>
              <w:ind w:left="-88" w:leftChars="-42"/>
              <w:jc w:val="center"/>
              <w:rPr>
                <w:rFonts w:hint="eastAsia" w:ascii="宋体" w:hAnsi="宋体"/>
                <w:color w:val="auto"/>
                <w:szCs w:val="21"/>
                <w:highlight w:val="none"/>
              </w:rPr>
            </w:pPr>
          </w:p>
        </w:tc>
        <w:tc>
          <w:tcPr>
            <w:tcW w:w="2600" w:type="dxa"/>
            <w:vAlign w:val="center"/>
          </w:tcPr>
          <w:p>
            <w:pPr>
              <w:adjustRightInd w:val="0"/>
              <w:snapToGrid w:val="0"/>
              <w:ind w:left="-88" w:leftChars="-42"/>
              <w:jc w:val="center"/>
              <w:rPr>
                <w:rFonts w:hint="eastAsia" w:ascii="宋体" w:hAnsi="宋体"/>
                <w:color w:val="auto"/>
                <w:szCs w:val="21"/>
                <w:highlight w:val="none"/>
              </w:rPr>
            </w:pPr>
          </w:p>
        </w:tc>
        <w:tc>
          <w:tcPr>
            <w:tcW w:w="1214" w:type="dxa"/>
            <w:vAlign w:val="center"/>
          </w:tcPr>
          <w:p>
            <w:pPr>
              <w:adjustRightInd w:val="0"/>
              <w:snapToGrid w:val="0"/>
              <w:ind w:left="-88" w:leftChars="-42"/>
              <w:jc w:val="center"/>
              <w:rPr>
                <w:rFonts w:hint="eastAsia" w:ascii="宋体" w:hAnsi="宋体"/>
                <w:color w:val="auto"/>
                <w:szCs w:val="21"/>
                <w:highlight w:val="none"/>
              </w:rPr>
            </w:pPr>
          </w:p>
        </w:tc>
        <w:tc>
          <w:tcPr>
            <w:tcW w:w="661" w:type="dxa"/>
            <w:vAlign w:val="center"/>
          </w:tcPr>
          <w:p>
            <w:pPr>
              <w:adjustRightInd w:val="0"/>
              <w:snapToGrid w:val="0"/>
              <w:ind w:left="-88" w:leftChars="-42"/>
              <w:jc w:val="center"/>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hint="eastAsia" w:ascii="宋体" w:hAnsi="宋体"/>
                <w:color w:val="auto"/>
                <w:szCs w:val="21"/>
                <w:highlight w:val="none"/>
              </w:rPr>
            </w:pPr>
          </w:p>
        </w:tc>
        <w:tc>
          <w:tcPr>
            <w:tcW w:w="1685" w:type="dxa"/>
            <w:vAlign w:val="center"/>
          </w:tcPr>
          <w:p>
            <w:pPr>
              <w:adjustRightInd w:val="0"/>
              <w:snapToGrid w:val="0"/>
              <w:ind w:left="-88" w:leftChars="-42"/>
              <w:jc w:val="center"/>
              <w:rPr>
                <w:rFonts w:hint="eastAsia" w:ascii="宋体" w:hAnsi="宋体"/>
                <w:color w:val="auto"/>
                <w:szCs w:val="21"/>
                <w:highlight w:val="none"/>
              </w:rPr>
            </w:pPr>
          </w:p>
        </w:tc>
        <w:tc>
          <w:tcPr>
            <w:tcW w:w="1948" w:type="dxa"/>
            <w:vAlign w:val="center"/>
          </w:tcPr>
          <w:p>
            <w:pPr>
              <w:adjustRightInd w:val="0"/>
              <w:snapToGrid w:val="0"/>
              <w:ind w:left="-88" w:leftChars="-42"/>
              <w:jc w:val="center"/>
              <w:rPr>
                <w:rFonts w:hint="eastAsia" w:ascii="宋体" w:hAnsi="宋体"/>
                <w:color w:val="auto"/>
                <w:szCs w:val="21"/>
                <w:highlight w:val="none"/>
              </w:rPr>
            </w:pPr>
          </w:p>
        </w:tc>
        <w:tc>
          <w:tcPr>
            <w:tcW w:w="2600" w:type="dxa"/>
            <w:vAlign w:val="center"/>
          </w:tcPr>
          <w:p>
            <w:pPr>
              <w:adjustRightInd w:val="0"/>
              <w:snapToGrid w:val="0"/>
              <w:ind w:left="-88" w:leftChars="-42"/>
              <w:jc w:val="center"/>
              <w:rPr>
                <w:rFonts w:hint="eastAsia" w:ascii="宋体" w:hAnsi="宋体"/>
                <w:color w:val="auto"/>
                <w:szCs w:val="21"/>
                <w:highlight w:val="none"/>
              </w:rPr>
            </w:pPr>
          </w:p>
        </w:tc>
        <w:tc>
          <w:tcPr>
            <w:tcW w:w="1214" w:type="dxa"/>
            <w:vAlign w:val="center"/>
          </w:tcPr>
          <w:p>
            <w:pPr>
              <w:adjustRightInd w:val="0"/>
              <w:snapToGrid w:val="0"/>
              <w:ind w:left="-88" w:leftChars="-42"/>
              <w:jc w:val="center"/>
              <w:rPr>
                <w:rFonts w:hint="eastAsia" w:ascii="宋体" w:hAnsi="宋体"/>
                <w:color w:val="auto"/>
                <w:szCs w:val="21"/>
                <w:highlight w:val="none"/>
              </w:rPr>
            </w:pPr>
          </w:p>
        </w:tc>
        <w:tc>
          <w:tcPr>
            <w:tcW w:w="661" w:type="dxa"/>
            <w:vAlign w:val="center"/>
          </w:tcPr>
          <w:p>
            <w:pPr>
              <w:adjustRightInd w:val="0"/>
              <w:snapToGrid w:val="0"/>
              <w:ind w:left="-88" w:leftChars="-42"/>
              <w:jc w:val="center"/>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hint="eastAsia" w:ascii="宋体" w:hAnsi="宋体"/>
                <w:color w:val="auto"/>
                <w:szCs w:val="21"/>
                <w:highlight w:val="none"/>
              </w:rPr>
            </w:pPr>
          </w:p>
        </w:tc>
        <w:tc>
          <w:tcPr>
            <w:tcW w:w="1685" w:type="dxa"/>
            <w:vAlign w:val="center"/>
          </w:tcPr>
          <w:p>
            <w:pPr>
              <w:adjustRightInd w:val="0"/>
              <w:snapToGrid w:val="0"/>
              <w:ind w:left="-88" w:leftChars="-42"/>
              <w:jc w:val="center"/>
              <w:rPr>
                <w:rFonts w:hint="eastAsia" w:ascii="宋体" w:hAnsi="宋体"/>
                <w:color w:val="auto"/>
                <w:szCs w:val="21"/>
                <w:highlight w:val="none"/>
              </w:rPr>
            </w:pPr>
          </w:p>
        </w:tc>
        <w:tc>
          <w:tcPr>
            <w:tcW w:w="1948" w:type="dxa"/>
            <w:vAlign w:val="center"/>
          </w:tcPr>
          <w:p>
            <w:pPr>
              <w:adjustRightInd w:val="0"/>
              <w:snapToGrid w:val="0"/>
              <w:ind w:left="-88" w:leftChars="-42"/>
              <w:jc w:val="center"/>
              <w:rPr>
                <w:rFonts w:hint="eastAsia" w:ascii="宋体" w:hAnsi="宋体"/>
                <w:color w:val="auto"/>
                <w:szCs w:val="21"/>
                <w:highlight w:val="none"/>
              </w:rPr>
            </w:pPr>
          </w:p>
        </w:tc>
        <w:tc>
          <w:tcPr>
            <w:tcW w:w="2600" w:type="dxa"/>
            <w:vAlign w:val="center"/>
          </w:tcPr>
          <w:p>
            <w:pPr>
              <w:adjustRightInd w:val="0"/>
              <w:snapToGrid w:val="0"/>
              <w:ind w:left="-88" w:leftChars="-42"/>
              <w:jc w:val="center"/>
              <w:rPr>
                <w:rFonts w:hint="eastAsia" w:ascii="宋体" w:hAnsi="宋体"/>
                <w:color w:val="auto"/>
                <w:szCs w:val="21"/>
                <w:highlight w:val="none"/>
              </w:rPr>
            </w:pPr>
          </w:p>
        </w:tc>
        <w:tc>
          <w:tcPr>
            <w:tcW w:w="1214" w:type="dxa"/>
            <w:vAlign w:val="center"/>
          </w:tcPr>
          <w:p>
            <w:pPr>
              <w:adjustRightInd w:val="0"/>
              <w:snapToGrid w:val="0"/>
              <w:ind w:left="-88" w:leftChars="-42"/>
              <w:jc w:val="center"/>
              <w:rPr>
                <w:rFonts w:hint="eastAsia" w:ascii="宋体" w:hAnsi="宋体"/>
                <w:color w:val="auto"/>
                <w:szCs w:val="21"/>
                <w:highlight w:val="none"/>
              </w:rPr>
            </w:pPr>
          </w:p>
        </w:tc>
        <w:tc>
          <w:tcPr>
            <w:tcW w:w="661" w:type="dxa"/>
            <w:vAlign w:val="center"/>
          </w:tcPr>
          <w:p>
            <w:pPr>
              <w:adjustRightInd w:val="0"/>
              <w:snapToGrid w:val="0"/>
              <w:ind w:left="-88" w:leftChars="-42"/>
              <w:jc w:val="center"/>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hint="eastAsia" w:ascii="宋体" w:hAnsi="宋体"/>
                <w:color w:val="auto"/>
                <w:szCs w:val="21"/>
                <w:highlight w:val="none"/>
              </w:rPr>
            </w:pPr>
          </w:p>
        </w:tc>
        <w:tc>
          <w:tcPr>
            <w:tcW w:w="1685" w:type="dxa"/>
            <w:vAlign w:val="center"/>
          </w:tcPr>
          <w:p>
            <w:pPr>
              <w:adjustRightInd w:val="0"/>
              <w:snapToGrid w:val="0"/>
              <w:ind w:left="-88" w:leftChars="-42"/>
              <w:jc w:val="center"/>
              <w:rPr>
                <w:rFonts w:hint="eastAsia" w:ascii="宋体" w:hAnsi="宋体"/>
                <w:color w:val="auto"/>
                <w:szCs w:val="21"/>
                <w:highlight w:val="none"/>
              </w:rPr>
            </w:pPr>
          </w:p>
        </w:tc>
        <w:tc>
          <w:tcPr>
            <w:tcW w:w="1948" w:type="dxa"/>
            <w:vAlign w:val="center"/>
          </w:tcPr>
          <w:p>
            <w:pPr>
              <w:adjustRightInd w:val="0"/>
              <w:snapToGrid w:val="0"/>
              <w:ind w:left="-88" w:leftChars="-42"/>
              <w:jc w:val="center"/>
              <w:rPr>
                <w:rFonts w:hint="eastAsia" w:ascii="宋体" w:hAnsi="宋体"/>
                <w:color w:val="auto"/>
                <w:szCs w:val="21"/>
                <w:highlight w:val="none"/>
              </w:rPr>
            </w:pPr>
          </w:p>
        </w:tc>
        <w:tc>
          <w:tcPr>
            <w:tcW w:w="2600" w:type="dxa"/>
            <w:vAlign w:val="center"/>
          </w:tcPr>
          <w:p>
            <w:pPr>
              <w:adjustRightInd w:val="0"/>
              <w:snapToGrid w:val="0"/>
              <w:ind w:left="-88" w:leftChars="-42"/>
              <w:jc w:val="center"/>
              <w:rPr>
                <w:rFonts w:hint="eastAsia" w:ascii="宋体" w:hAnsi="宋体"/>
                <w:color w:val="auto"/>
                <w:szCs w:val="21"/>
                <w:highlight w:val="none"/>
              </w:rPr>
            </w:pPr>
          </w:p>
        </w:tc>
        <w:tc>
          <w:tcPr>
            <w:tcW w:w="1214" w:type="dxa"/>
            <w:vAlign w:val="center"/>
          </w:tcPr>
          <w:p>
            <w:pPr>
              <w:adjustRightInd w:val="0"/>
              <w:snapToGrid w:val="0"/>
              <w:ind w:left="-88" w:leftChars="-42"/>
              <w:jc w:val="center"/>
              <w:rPr>
                <w:rFonts w:hint="eastAsia" w:ascii="宋体" w:hAnsi="宋体"/>
                <w:color w:val="auto"/>
                <w:szCs w:val="21"/>
                <w:highlight w:val="none"/>
              </w:rPr>
            </w:pPr>
          </w:p>
        </w:tc>
        <w:tc>
          <w:tcPr>
            <w:tcW w:w="661" w:type="dxa"/>
            <w:vAlign w:val="center"/>
          </w:tcPr>
          <w:p>
            <w:pPr>
              <w:adjustRightInd w:val="0"/>
              <w:snapToGrid w:val="0"/>
              <w:ind w:left="-88" w:leftChars="-42"/>
              <w:jc w:val="center"/>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hint="eastAsia" w:ascii="宋体" w:hAnsi="宋体"/>
                <w:color w:val="auto"/>
                <w:szCs w:val="21"/>
                <w:highlight w:val="none"/>
              </w:rPr>
            </w:pPr>
          </w:p>
        </w:tc>
        <w:tc>
          <w:tcPr>
            <w:tcW w:w="1685" w:type="dxa"/>
            <w:vAlign w:val="center"/>
          </w:tcPr>
          <w:p>
            <w:pPr>
              <w:adjustRightInd w:val="0"/>
              <w:snapToGrid w:val="0"/>
              <w:ind w:left="-88" w:leftChars="-42"/>
              <w:jc w:val="center"/>
              <w:rPr>
                <w:rFonts w:hint="eastAsia" w:ascii="宋体" w:hAnsi="宋体"/>
                <w:color w:val="auto"/>
                <w:szCs w:val="21"/>
                <w:highlight w:val="none"/>
              </w:rPr>
            </w:pPr>
          </w:p>
        </w:tc>
        <w:tc>
          <w:tcPr>
            <w:tcW w:w="1948" w:type="dxa"/>
            <w:vAlign w:val="center"/>
          </w:tcPr>
          <w:p>
            <w:pPr>
              <w:adjustRightInd w:val="0"/>
              <w:snapToGrid w:val="0"/>
              <w:ind w:left="-88" w:leftChars="-42"/>
              <w:jc w:val="center"/>
              <w:rPr>
                <w:rFonts w:hint="eastAsia" w:ascii="宋体" w:hAnsi="宋体"/>
                <w:color w:val="auto"/>
                <w:szCs w:val="21"/>
                <w:highlight w:val="none"/>
              </w:rPr>
            </w:pPr>
          </w:p>
        </w:tc>
        <w:tc>
          <w:tcPr>
            <w:tcW w:w="2600" w:type="dxa"/>
            <w:vAlign w:val="center"/>
          </w:tcPr>
          <w:p>
            <w:pPr>
              <w:adjustRightInd w:val="0"/>
              <w:snapToGrid w:val="0"/>
              <w:ind w:left="-88" w:leftChars="-42"/>
              <w:jc w:val="center"/>
              <w:rPr>
                <w:rFonts w:hint="eastAsia" w:ascii="宋体" w:hAnsi="宋体"/>
                <w:color w:val="auto"/>
                <w:szCs w:val="21"/>
                <w:highlight w:val="none"/>
              </w:rPr>
            </w:pPr>
          </w:p>
        </w:tc>
        <w:tc>
          <w:tcPr>
            <w:tcW w:w="1214" w:type="dxa"/>
            <w:vAlign w:val="center"/>
          </w:tcPr>
          <w:p>
            <w:pPr>
              <w:adjustRightInd w:val="0"/>
              <w:snapToGrid w:val="0"/>
              <w:ind w:left="-88" w:leftChars="-42"/>
              <w:jc w:val="center"/>
              <w:rPr>
                <w:rFonts w:hint="eastAsia" w:ascii="宋体" w:hAnsi="宋体"/>
                <w:color w:val="auto"/>
                <w:szCs w:val="21"/>
                <w:highlight w:val="none"/>
              </w:rPr>
            </w:pPr>
          </w:p>
        </w:tc>
        <w:tc>
          <w:tcPr>
            <w:tcW w:w="661" w:type="dxa"/>
            <w:vAlign w:val="center"/>
          </w:tcPr>
          <w:p>
            <w:pPr>
              <w:adjustRightInd w:val="0"/>
              <w:snapToGrid w:val="0"/>
              <w:ind w:left="-88" w:leftChars="-42"/>
              <w:jc w:val="center"/>
              <w:rPr>
                <w:rFonts w:hint="eastAsia" w:ascii="宋体" w:hAnsi="宋体"/>
                <w:color w:val="auto"/>
                <w:szCs w:val="21"/>
                <w:highlight w:val="none"/>
              </w:rPr>
            </w:pPr>
          </w:p>
        </w:tc>
      </w:tr>
    </w:tbl>
    <w:p>
      <w:pPr>
        <w:adjustRightInd w:val="0"/>
        <w:snapToGrid w:val="0"/>
        <w:spacing w:line="360" w:lineRule="auto"/>
        <w:ind w:left="-88" w:leftChars="-42"/>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说明：1、“响应与偏离”应注明“响应”或“偏离”。</w:t>
      </w:r>
    </w:p>
    <w:p>
      <w:pPr>
        <w:adjustRightInd w:val="0"/>
        <w:snapToGrid w:val="0"/>
        <w:spacing w:line="360" w:lineRule="auto"/>
        <w:rPr>
          <w:rFonts w:hint="eastAsia" w:ascii="仿宋_GB2312" w:hAnsi="宋体" w:eastAsia="仿宋_GB2312"/>
          <w:color w:val="auto"/>
          <w:szCs w:val="21"/>
          <w:highlight w:val="none"/>
        </w:rPr>
      </w:pPr>
      <w:r>
        <w:rPr>
          <w:rFonts w:hint="eastAsia" w:ascii="仿宋_GB2312" w:hAnsi="宋体" w:eastAsia="仿宋_GB2312"/>
          <w:b/>
          <w:color w:val="auto"/>
          <w:szCs w:val="21"/>
          <w:highlight w:val="none"/>
        </w:rPr>
        <w:t xml:space="preserve">     </w:t>
      </w:r>
      <w:r>
        <w:rPr>
          <w:rFonts w:hint="eastAsia" w:ascii="仿宋_GB2312" w:hAnsi="宋体" w:eastAsia="仿宋_GB2312"/>
          <w:color w:val="auto"/>
          <w:szCs w:val="21"/>
          <w:highlight w:val="none"/>
        </w:rPr>
        <w:t>2、属磋商文件规定可能变动的内容在“说明”栏中注明。</w:t>
      </w:r>
    </w:p>
    <w:p>
      <w:pPr>
        <w:pStyle w:val="21"/>
        <w:adjustRightInd w:val="0"/>
        <w:snapToGrid w:val="0"/>
        <w:spacing w:line="360" w:lineRule="auto"/>
        <w:outlineLvl w:val="9"/>
        <w:rPr>
          <w:rFonts w:hint="eastAsia" w:ascii="宋体" w:hAnsi="宋体"/>
          <w:color w:val="auto"/>
          <w:sz w:val="21"/>
          <w:szCs w:val="21"/>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Cs/>
          <w:color w:val="auto"/>
          <w:sz w:val="21"/>
          <w:szCs w:val="21"/>
          <w:highlight w:val="none"/>
        </w:rPr>
      </w:pPr>
      <w:r>
        <w:rPr>
          <w:rFonts w:hint="eastAsia" w:ascii="宋体" w:hAnsi="宋体"/>
          <w:color w:val="auto"/>
          <w:sz w:val="21"/>
          <w:szCs w:val="21"/>
          <w:highlight w:val="none"/>
        </w:rPr>
        <w:t>供应商名称：</w:t>
      </w:r>
      <w:r>
        <w:rPr>
          <w:rFonts w:hint="eastAsia" w:ascii="宋体" w:hAnsi="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日          期：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pPr>
        <w:adjustRightInd w:val="0"/>
        <w:snapToGrid w:val="0"/>
        <w:spacing w:line="360" w:lineRule="auto"/>
        <w:rPr>
          <w:rFonts w:hint="eastAsia" w:ascii="宋体" w:hAnsi="宋体"/>
          <w:color w:val="auto"/>
          <w:szCs w:val="21"/>
          <w:highlight w:val="none"/>
        </w:rPr>
      </w:pPr>
    </w:p>
    <w:p>
      <w:pPr>
        <w:tabs>
          <w:tab w:val="left" w:pos="3600"/>
        </w:tabs>
        <w:adjustRightInd w:val="0"/>
        <w:snapToGrid w:val="0"/>
        <w:jc w:val="center"/>
        <w:rPr>
          <w:rFonts w:hint="eastAsia" w:ascii="黑体" w:eastAsia="黑体"/>
          <w:b/>
          <w:color w:val="auto"/>
          <w:sz w:val="32"/>
          <w:szCs w:val="32"/>
          <w:highlight w:val="none"/>
        </w:rPr>
      </w:pPr>
    </w:p>
    <w:p>
      <w:pPr>
        <w:tabs>
          <w:tab w:val="left" w:pos="3600"/>
        </w:tabs>
        <w:adjustRightInd w:val="0"/>
        <w:snapToGrid w:val="0"/>
        <w:jc w:val="center"/>
        <w:rPr>
          <w:rFonts w:hint="eastAsia" w:ascii="黑体" w:eastAsia="黑体"/>
          <w:b/>
          <w:color w:val="auto"/>
          <w:sz w:val="32"/>
          <w:szCs w:val="32"/>
          <w:highlight w:val="none"/>
        </w:rPr>
      </w:pPr>
    </w:p>
    <w:p>
      <w:pPr>
        <w:tabs>
          <w:tab w:val="left" w:pos="3600"/>
        </w:tabs>
        <w:adjustRightInd w:val="0"/>
        <w:snapToGrid w:val="0"/>
        <w:jc w:val="center"/>
        <w:rPr>
          <w:rFonts w:hint="eastAsia" w:ascii="黑体" w:eastAsia="黑体"/>
          <w:b/>
          <w:color w:val="auto"/>
          <w:sz w:val="32"/>
          <w:szCs w:val="32"/>
          <w:highlight w:val="none"/>
        </w:rPr>
      </w:pPr>
    </w:p>
    <w:p>
      <w:pPr>
        <w:tabs>
          <w:tab w:val="left" w:pos="3600"/>
        </w:tabs>
        <w:adjustRightInd w:val="0"/>
        <w:snapToGrid w:val="0"/>
        <w:jc w:val="center"/>
        <w:rPr>
          <w:rFonts w:hint="eastAsia" w:ascii="黑体" w:eastAsia="黑体"/>
          <w:b/>
          <w:color w:val="auto"/>
          <w:sz w:val="32"/>
          <w:szCs w:val="32"/>
          <w:highlight w:val="none"/>
        </w:rPr>
      </w:pPr>
    </w:p>
    <w:p>
      <w:pPr>
        <w:tabs>
          <w:tab w:val="left" w:pos="3600"/>
        </w:tabs>
        <w:adjustRightInd w:val="0"/>
        <w:snapToGrid w:val="0"/>
        <w:jc w:val="center"/>
        <w:rPr>
          <w:rFonts w:hint="eastAsia" w:ascii="黑体" w:eastAsia="黑体"/>
          <w:b/>
          <w:color w:val="auto"/>
          <w:sz w:val="32"/>
          <w:szCs w:val="32"/>
          <w:highlight w:val="none"/>
        </w:rPr>
      </w:pPr>
    </w:p>
    <w:p>
      <w:pPr>
        <w:tabs>
          <w:tab w:val="left" w:pos="3600"/>
        </w:tabs>
        <w:adjustRightInd w:val="0"/>
        <w:snapToGrid w:val="0"/>
        <w:jc w:val="center"/>
        <w:rPr>
          <w:rFonts w:hint="eastAsia" w:ascii="黑体" w:eastAsia="黑体"/>
          <w:b/>
          <w:color w:val="auto"/>
          <w:sz w:val="32"/>
          <w:szCs w:val="32"/>
          <w:highlight w:val="none"/>
        </w:rPr>
      </w:pPr>
    </w:p>
    <w:p>
      <w:pPr>
        <w:tabs>
          <w:tab w:val="left" w:pos="3600"/>
        </w:tabs>
        <w:adjustRightInd w:val="0"/>
        <w:snapToGrid w:val="0"/>
        <w:jc w:val="center"/>
        <w:rPr>
          <w:rFonts w:hint="eastAsia" w:ascii="黑体" w:eastAsia="黑体"/>
          <w:b/>
          <w:color w:val="auto"/>
          <w:sz w:val="32"/>
          <w:szCs w:val="32"/>
          <w:highlight w:val="none"/>
        </w:rPr>
      </w:pPr>
    </w:p>
    <w:p>
      <w:pPr>
        <w:tabs>
          <w:tab w:val="left" w:pos="3600"/>
        </w:tabs>
        <w:adjustRightInd w:val="0"/>
        <w:snapToGrid w:val="0"/>
        <w:jc w:val="center"/>
        <w:rPr>
          <w:rFonts w:hint="eastAsia" w:ascii="黑体" w:eastAsia="黑体"/>
          <w:b/>
          <w:color w:val="auto"/>
          <w:sz w:val="32"/>
          <w:szCs w:val="32"/>
          <w:highlight w:val="none"/>
        </w:rPr>
      </w:pPr>
    </w:p>
    <w:p>
      <w:pPr>
        <w:rPr>
          <w:rFonts w:hint="eastAsia" w:ascii="黑体" w:eastAsia="黑体"/>
          <w:b/>
          <w:bCs/>
          <w:color w:val="auto"/>
          <w:sz w:val="32"/>
          <w:szCs w:val="32"/>
          <w:highlight w:val="none"/>
        </w:rPr>
      </w:pPr>
    </w:p>
    <w:p>
      <w:pPr>
        <w:rPr>
          <w:rFonts w:hint="eastAsia" w:ascii="黑体" w:eastAsia="黑体"/>
          <w:b/>
          <w:bCs/>
          <w:color w:val="auto"/>
          <w:sz w:val="32"/>
          <w:szCs w:val="32"/>
          <w:highlight w:val="none"/>
        </w:rPr>
      </w:pPr>
    </w:p>
    <w:p>
      <w:pPr>
        <w:rPr>
          <w:rFonts w:hint="eastAsia" w:ascii="黑体" w:eastAsia="黑体"/>
          <w:b/>
          <w:bCs/>
          <w:color w:val="auto"/>
          <w:sz w:val="32"/>
          <w:szCs w:val="32"/>
          <w:highlight w:val="none"/>
        </w:rPr>
      </w:pPr>
    </w:p>
    <w:p>
      <w:pPr>
        <w:ind w:firstLine="803"/>
        <w:jc w:val="center"/>
        <w:rPr>
          <w:rFonts w:hint="eastAsia" w:ascii="黑体" w:hAnsi="宋体" w:eastAsia="黑体"/>
          <w:b/>
          <w:color w:val="auto"/>
          <w:sz w:val="32"/>
          <w:szCs w:val="32"/>
          <w:highlight w:val="none"/>
        </w:rPr>
      </w:pPr>
      <w:r>
        <w:rPr>
          <w:rFonts w:hint="eastAsia" w:ascii="黑体" w:eastAsia="黑体"/>
          <w:b/>
          <w:bCs/>
          <w:color w:val="auto"/>
          <w:sz w:val="32"/>
          <w:szCs w:val="32"/>
          <w:highlight w:val="none"/>
          <w:lang w:val="en-US" w:eastAsia="zh-CN"/>
        </w:rPr>
        <w:t>六</w:t>
      </w:r>
      <w:r>
        <w:rPr>
          <w:rFonts w:hint="eastAsia" w:ascii="黑体" w:eastAsia="黑体"/>
          <w:b/>
          <w:bCs/>
          <w:color w:val="auto"/>
          <w:sz w:val="32"/>
          <w:szCs w:val="32"/>
          <w:highlight w:val="none"/>
        </w:rPr>
        <w:t>、</w:t>
      </w:r>
      <w:r>
        <w:rPr>
          <w:rFonts w:hint="eastAsia" w:ascii="黑体" w:hAnsi="宋体" w:eastAsia="黑体"/>
          <w:b/>
          <w:color w:val="auto"/>
          <w:sz w:val="32"/>
          <w:szCs w:val="32"/>
          <w:highlight w:val="none"/>
        </w:rPr>
        <w:t>报价一览表及分项价格表</w:t>
      </w:r>
    </w:p>
    <w:p>
      <w:pPr>
        <w:tabs>
          <w:tab w:val="left" w:pos="1680"/>
        </w:tabs>
        <w:adjustRightInd w:val="0"/>
        <w:snapToGrid w:val="0"/>
        <w:rPr>
          <w:rFonts w:hint="eastAsia" w:ascii="黑体" w:hAnsi="宋体" w:eastAsia="黑体"/>
          <w:color w:val="auto"/>
          <w:sz w:val="30"/>
          <w:szCs w:val="30"/>
          <w:highlight w:val="none"/>
        </w:rPr>
      </w:pPr>
      <w:r>
        <w:rPr>
          <w:rFonts w:hint="eastAsia" w:ascii="黑体" w:hAnsi="宋体" w:eastAsia="黑体"/>
          <w:color w:val="auto"/>
          <w:sz w:val="30"/>
          <w:szCs w:val="30"/>
          <w:highlight w:val="none"/>
        </w:rPr>
        <w:t>附件</w:t>
      </w:r>
      <w:r>
        <w:rPr>
          <w:rFonts w:hint="eastAsia" w:ascii="黑体" w:hAnsi="宋体" w:eastAsia="黑体"/>
          <w:color w:val="auto"/>
          <w:sz w:val="30"/>
          <w:szCs w:val="30"/>
          <w:highlight w:val="none"/>
          <w:lang w:val="en-US" w:eastAsia="zh-CN"/>
        </w:rPr>
        <w:t>8</w:t>
      </w:r>
      <w:r>
        <w:rPr>
          <w:rFonts w:ascii="黑体" w:hAnsi="宋体" w:eastAsia="黑体"/>
          <w:color w:val="auto"/>
          <w:sz w:val="30"/>
          <w:szCs w:val="30"/>
          <w:highlight w:val="none"/>
        </w:rPr>
        <w:tab/>
      </w:r>
    </w:p>
    <w:p>
      <w:pPr>
        <w:adjustRightInd w:val="0"/>
        <w:snapToGrid w:val="0"/>
        <w:jc w:val="center"/>
        <w:outlineLvl w:val="9"/>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报价一览表</w:t>
      </w:r>
    </w:p>
    <w:p>
      <w:pPr>
        <w:adjustRightInd w:val="0"/>
        <w:snapToGrid w:val="0"/>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w:t>
      </w:r>
    </w:p>
    <w:tbl>
      <w:tblPr>
        <w:tblStyle w:val="32"/>
        <w:tblW w:w="86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3100"/>
        <w:gridCol w:w="1641"/>
        <w:gridCol w:w="22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1" w:type="dxa"/>
            <w:vMerge w:val="restart"/>
            <w:tcBorders>
              <w:top w:val="double" w:color="auto" w:sz="2" w:space="0"/>
              <w:left w:val="double" w:color="auto" w:sz="2" w:space="0"/>
              <w:bottom w:val="single" w:color="auto" w:sz="6" w:space="0"/>
              <w:right w:val="single" w:color="auto" w:sz="6" w:space="0"/>
            </w:tcBorders>
            <w:vAlign w:val="center"/>
          </w:tcPr>
          <w:p>
            <w:pPr>
              <w:spacing w:line="420" w:lineRule="exact"/>
              <w:ind w:left="0" w:leftChars="0" w:right="4" w:rightChars="0" w:firstLine="0" w:firstLineChars="0"/>
              <w:jc w:val="center"/>
              <w:outlineLvl w:val="9"/>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项目名称</w:t>
            </w:r>
          </w:p>
        </w:tc>
        <w:tc>
          <w:tcPr>
            <w:tcW w:w="3100" w:type="dxa"/>
            <w:vMerge w:val="restart"/>
            <w:tcBorders>
              <w:top w:val="double" w:color="auto" w:sz="2" w:space="0"/>
              <w:left w:val="nil"/>
              <w:bottom w:val="single" w:color="auto" w:sz="6" w:space="0"/>
              <w:right w:val="single" w:color="auto" w:sz="6" w:space="0"/>
            </w:tcBorders>
            <w:vAlign w:val="center"/>
          </w:tcPr>
          <w:p>
            <w:pPr>
              <w:spacing w:line="420" w:lineRule="exact"/>
              <w:jc w:val="center"/>
              <w:outlineLvl w:val="9"/>
              <w:rPr>
                <w:rFonts w:ascii="宋体" w:hAnsi="宋体" w:eastAsia="宋体" w:cs="Times New Roman"/>
                <w:color w:val="auto"/>
                <w:szCs w:val="21"/>
                <w:highlight w:val="none"/>
              </w:rPr>
            </w:pPr>
          </w:p>
        </w:tc>
        <w:tc>
          <w:tcPr>
            <w:tcW w:w="1641" w:type="dxa"/>
            <w:tcBorders>
              <w:top w:val="double" w:color="auto" w:sz="2" w:space="0"/>
              <w:left w:val="nil"/>
              <w:bottom w:val="single" w:color="auto" w:sz="6" w:space="0"/>
              <w:right w:val="single" w:color="auto" w:sz="6" w:space="0"/>
            </w:tcBorders>
            <w:vAlign w:val="center"/>
          </w:tcPr>
          <w:p>
            <w:pPr>
              <w:spacing w:line="420" w:lineRule="exact"/>
              <w:jc w:val="center"/>
              <w:outlineLvl w:val="9"/>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政府采购编号</w:t>
            </w:r>
          </w:p>
        </w:tc>
        <w:tc>
          <w:tcPr>
            <w:tcW w:w="2277" w:type="dxa"/>
            <w:tcBorders>
              <w:top w:val="double" w:color="auto" w:sz="2" w:space="0"/>
              <w:left w:val="nil"/>
              <w:bottom w:val="single" w:color="auto" w:sz="6" w:space="0"/>
              <w:right w:val="double" w:color="auto" w:sz="2" w:space="0"/>
            </w:tcBorders>
            <w:vAlign w:val="center"/>
          </w:tcPr>
          <w:p>
            <w:pPr>
              <w:spacing w:line="420" w:lineRule="exact"/>
              <w:jc w:val="center"/>
              <w:outlineLvl w:val="9"/>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41" w:type="dxa"/>
            <w:vMerge w:val="continue"/>
            <w:tcBorders>
              <w:top w:val="double" w:color="auto" w:sz="2" w:space="0"/>
              <w:left w:val="double" w:color="auto" w:sz="2" w:space="0"/>
              <w:bottom w:val="single" w:color="auto" w:sz="6" w:space="0"/>
              <w:right w:val="single" w:color="auto" w:sz="6" w:space="0"/>
            </w:tcBorders>
            <w:vAlign w:val="center"/>
          </w:tcPr>
          <w:p>
            <w:pPr>
              <w:widowControl/>
              <w:jc w:val="left"/>
              <w:outlineLvl w:val="9"/>
              <w:rPr>
                <w:rFonts w:ascii="宋体" w:hAnsi="宋体" w:eastAsia="宋体" w:cs="Times New Roman"/>
                <w:color w:val="auto"/>
                <w:szCs w:val="21"/>
                <w:highlight w:val="none"/>
              </w:rPr>
            </w:pPr>
          </w:p>
        </w:tc>
        <w:tc>
          <w:tcPr>
            <w:tcW w:w="3100" w:type="dxa"/>
            <w:vMerge w:val="continue"/>
            <w:tcBorders>
              <w:top w:val="double" w:color="auto" w:sz="2" w:space="0"/>
              <w:left w:val="nil"/>
              <w:bottom w:val="single" w:color="auto" w:sz="6" w:space="0"/>
              <w:right w:val="single" w:color="auto" w:sz="6" w:space="0"/>
            </w:tcBorders>
            <w:vAlign w:val="center"/>
          </w:tcPr>
          <w:p>
            <w:pPr>
              <w:widowControl/>
              <w:jc w:val="left"/>
              <w:outlineLvl w:val="9"/>
              <w:rPr>
                <w:rFonts w:ascii="宋体" w:hAnsi="宋体" w:eastAsia="宋体" w:cs="Times New Roman"/>
                <w:color w:val="auto"/>
                <w:szCs w:val="21"/>
                <w:highlight w:val="none"/>
              </w:rPr>
            </w:pPr>
          </w:p>
        </w:tc>
        <w:tc>
          <w:tcPr>
            <w:tcW w:w="1641" w:type="dxa"/>
            <w:tcBorders>
              <w:top w:val="single" w:color="auto" w:sz="6" w:space="0"/>
              <w:left w:val="nil"/>
              <w:bottom w:val="single" w:color="auto" w:sz="6" w:space="0"/>
              <w:right w:val="single" w:color="auto" w:sz="6" w:space="0"/>
            </w:tcBorders>
            <w:vAlign w:val="center"/>
          </w:tcPr>
          <w:p>
            <w:pPr>
              <w:spacing w:line="420" w:lineRule="exact"/>
              <w:jc w:val="center"/>
              <w:outlineLvl w:val="9"/>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采购代理编号</w:t>
            </w:r>
          </w:p>
        </w:tc>
        <w:tc>
          <w:tcPr>
            <w:tcW w:w="2277" w:type="dxa"/>
            <w:tcBorders>
              <w:top w:val="single" w:color="auto" w:sz="6" w:space="0"/>
              <w:left w:val="nil"/>
              <w:bottom w:val="single" w:color="auto" w:sz="6" w:space="0"/>
              <w:right w:val="double" w:color="auto" w:sz="2" w:space="0"/>
            </w:tcBorders>
            <w:vAlign w:val="center"/>
          </w:tcPr>
          <w:p>
            <w:pPr>
              <w:spacing w:line="420" w:lineRule="exact"/>
              <w:jc w:val="center"/>
              <w:outlineLvl w:val="9"/>
              <w:rPr>
                <w:rFonts w:ascii="宋体" w:hAnsi="宋体" w:eastAsia="宋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41" w:type="dxa"/>
            <w:tcBorders>
              <w:top w:val="single" w:color="auto" w:sz="6" w:space="0"/>
              <w:left w:val="double" w:color="auto" w:sz="2" w:space="0"/>
              <w:right w:val="single" w:color="auto" w:sz="6" w:space="0"/>
            </w:tcBorders>
            <w:vAlign w:val="center"/>
          </w:tcPr>
          <w:p>
            <w:pPr>
              <w:spacing w:line="420" w:lineRule="exact"/>
              <w:jc w:val="center"/>
              <w:outlineLvl w:val="9"/>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品目代码</w:t>
            </w:r>
          </w:p>
        </w:tc>
        <w:tc>
          <w:tcPr>
            <w:tcW w:w="7018" w:type="dxa"/>
            <w:gridSpan w:val="3"/>
            <w:tcBorders>
              <w:top w:val="single" w:color="auto" w:sz="6" w:space="0"/>
              <w:left w:val="nil"/>
              <w:bottom w:val="single" w:color="auto" w:sz="6" w:space="0"/>
              <w:right w:val="double" w:color="auto" w:sz="2" w:space="0"/>
            </w:tcBorders>
            <w:vAlign w:val="center"/>
          </w:tcPr>
          <w:p>
            <w:pPr>
              <w:jc w:val="both"/>
              <w:outlineLvl w:val="9"/>
              <w:rPr>
                <w:rFonts w:hint="eastAsia" w:ascii="宋体" w:hAnsi="宋体" w:eastAsia="宋体" w:cs="Times New Roman"/>
                <w:color w:val="auto"/>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641" w:type="dxa"/>
            <w:tcBorders>
              <w:top w:val="single" w:color="auto" w:sz="6" w:space="0"/>
              <w:left w:val="double" w:color="auto" w:sz="2" w:space="0"/>
              <w:right w:val="single" w:color="auto" w:sz="6" w:space="0"/>
            </w:tcBorders>
            <w:vAlign w:val="center"/>
          </w:tcPr>
          <w:p>
            <w:pPr>
              <w:spacing w:line="420" w:lineRule="exact"/>
              <w:jc w:val="center"/>
              <w:outlineLvl w:val="9"/>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总报价</w:t>
            </w:r>
          </w:p>
        </w:tc>
        <w:tc>
          <w:tcPr>
            <w:tcW w:w="7018" w:type="dxa"/>
            <w:gridSpan w:val="3"/>
            <w:tcBorders>
              <w:top w:val="single" w:color="auto" w:sz="6" w:space="0"/>
              <w:left w:val="nil"/>
              <w:bottom w:val="single" w:color="auto" w:sz="6" w:space="0"/>
              <w:right w:val="double" w:color="auto" w:sz="2" w:space="0"/>
            </w:tcBorders>
            <w:vAlign w:val="center"/>
          </w:tcPr>
          <w:p>
            <w:pPr>
              <w:outlineLvl w:val="9"/>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大写：</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元人民币整</w:t>
            </w:r>
          </w:p>
          <w:p>
            <w:pPr>
              <w:spacing w:line="420" w:lineRule="exact"/>
              <w:outlineLvl w:val="9"/>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小写：</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41" w:type="dxa"/>
            <w:tcBorders>
              <w:top w:val="single" w:color="auto" w:sz="6" w:space="0"/>
              <w:left w:val="double" w:color="auto" w:sz="2" w:space="0"/>
              <w:bottom w:val="single" w:color="auto" w:sz="6" w:space="0"/>
              <w:right w:val="single" w:color="auto" w:sz="6" w:space="0"/>
            </w:tcBorders>
            <w:vAlign w:val="center"/>
          </w:tcPr>
          <w:p>
            <w:pPr>
              <w:spacing w:line="420" w:lineRule="exact"/>
              <w:jc w:val="center"/>
              <w:outlineLvl w:val="9"/>
              <w:rPr>
                <w:rFonts w:ascii="宋体" w:hAnsi="宋体" w:eastAsia="宋体" w:cs="Times New Roman"/>
                <w:color w:val="auto"/>
                <w:szCs w:val="21"/>
                <w:highlight w:val="none"/>
              </w:rPr>
            </w:pPr>
            <w:r>
              <w:rPr>
                <w:rFonts w:hint="eastAsia" w:ascii="宋体" w:hAnsi="宋体" w:cs="Times New Roman"/>
                <w:color w:val="auto"/>
                <w:szCs w:val="21"/>
                <w:highlight w:val="none"/>
                <w:lang w:eastAsia="zh-CN"/>
              </w:rPr>
              <w:t>服务期</w:t>
            </w:r>
            <w:r>
              <w:rPr>
                <w:rFonts w:hint="eastAsia" w:ascii="宋体" w:hAnsi="宋体" w:eastAsia="宋体" w:cs="Times New Roman"/>
                <w:color w:val="auto"/>
                <w:szCs w:val="21"/>
                <w:highlight w:val="none"/>
              </w:rPr>
              <w:t>（日历天）</w:t>
            </w:r>
          </w:p>
        </w:tc>
        <w:tc>
          <w:tcPr>
            <w:tcW w:w="7018" w:type="dxa"/>
            <w:gridSpan w:val="3"/>
            <w:tcBorders>
              <w:top w:val="single" w:color="auto" w:sz="6" w:space="0"/>
              <w:left w:val="nil"/>
              <w:bottom w:val="single" w:color="auto" w:sz="6" w:space="0"/>
              <w:right w:val="double" w:color="auto" w:sz="2" w:space="0"/>
            </w:tcBorders>
            <w:vAlign w:val="center"/>
          </w:tcPr>
          <w:p>
            <w:pPr>
              <w:spacing w:line="420" w:lineRule="exact"/>
              <w:outlineLvl w:val="9"/>
              <w:rPr>
                <w:rFonts w:ascii="宋体" w:hAnsi="宋体" w:eastAsia="宋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41" w:type="dxa"/>
            <w:tcBorders>
              <w:top w:val="single" w:color="auto" w:sz="6" w:space="0"/>
              <w:left w:val="double" w:color="auto" w:sz="2" w:space="0"/>
              <w:bottom w:val="single" w:color="auto" w:sz="6" w:space="0"/>
              <w:right w:val="single" w:color="auto" w:sz="6" w:space="0"/>
            </w:tcBorders>
            <w:vAlign w:val="center"/>
          </w:tcPr>
          <w:p>
            <w:pPr>
              <w:jc w:val="center"/>
              <w:outlineLvl w:val="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质量</w:t>
            </w:r>
            <w:r>
              <w:rPr>
                <w:rFonts w:hint="eastAsia" w:ascii="宋体" w:hAnsi="宋体" w:cs="Times New Roman"/>
                <w:color w:val="auto"/>
                <w:szCs w:val="21"/>
                <w:highlight w:val="none"/>
                <w:lang w:val="en-US" w:eastAsia="zh-CN"/>
              </w:rPr>
              <w:t>标准</w:t>
            </w:r>
          </w:p>
        </w:tc>
        <w:tc>
          <w:tcPr>
            <w:tcW w:w="7018" w:type="dxa"/>
            <w:gridSpan w:val="3"/>
            <w:tcBorders>
              <w:top w:val="single" w:color="auto" w:sz="6" w:space="0"/>
              <w:left w:val="nil"/>
              <w:bottom w:val="single" w:color="auto" w:sz="6" w:space="0"/>
              <w:right w:val="double" w:color="auto" w:sz="2" w:space="0"/>
            </w:tcBorders>
            <w:vAlign w:val="center"/>
          </w:tcPr>
          <w:p>
            <w:pPr>
              <w:spacing w:line="420" w:lineRule="exact"/>
              <w:ind w:firstLine="210" w:firstLineChars="100"/>
              <w:outlineLvl w:val="9"/>
              <w:rPr>
                <w:rFonts w:ascii="宋体" w:hAnsi="宋体" w:eastAsia="宋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41" w:type="dxa"/>
            <w:tcBorders>
              <w:top w:val="single" w:color="auto" w:sz="6" w:space="0"/>
              <w:left w:val="double" w:color="auto" w:sz="2" w:space="0"/>
              <w:bottom w:val="single" w:color="auto" w:sz="6" w:space="0"/>
              <w:right w:val="single" w:color="auto" w:sz="6" w:space="0"/>
            </w:tcBorders>
            <w:vAlign w:val="center"/>
          </w:tcPr>
          <w:p>
            <w:pPr>
              <w:spacing w:line="420" w:lineRule="exact"/>
              <w:jc w:val="center"/>
              <w:outlineLvl w:val="9"/>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项目负责人</w:t>
            </w:r>
          </w:p>
        </w:tc>
        <w:tc>
          <w:tcPr>
            <w:tcW w:w="7018" w:type="dxa"/>
            <w:gridSpan w:val="3"/>
            <w:tcBorders>
              <w:top w:val="single" w:color="auto" w:sz="6" w:space="0"/>
              <w:left w:val="nil"/>
              <w:bottom w:val="single" w:color="auto" w:sz="6" w:space="0"/>
              <w:right w:val="double" w:color="auto" w:sz="2" w:space="0"/>
            </w:tcBorders>
            <w:vAlign w:val="center"/>
          </w:tcPr>
          <w:p>
            <w:pPr>
              <w:spacing w:line="420" w:lineRule="exact"/>
              <w:ind w:firstLine="210" w:firstLineChars="100"/>
              <w:outlineLvl w:val="9"/>
              <w:rPr>
                <w:rFonts w:ascii="宋体" w:hAnsi="宋体" w:eastAsia="宋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41" w:type="dxa"/>
            <w:tcBorders>
              <w:top w:val="single" w:color="auto" w:sz="6" w:space="0"/>
              <w:left w:val="double" w:color="auto" w:sz="2" w:space="0"/>
              <w:bottom w:val="double" w:color="auto" w:sz="2" w:space="0"/>
              <w:right w:val="single" w:color="auto" w:sz="6" w:space="0"/>
            </w:tcBorders>
            <w:vAlign w:val="center"/>
          </w:tcPr>
          <w:p>
            <w:pPr>
              <w:spacing w:line="420" w:lineRule="exact"/>
              <w:jc w:val="center"/>
              <w:outlineLvl w:val="9"/>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备</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注</w:t>
            </w:r>
          </w:p>
        </w:tc>
        <w:tc>
          <w:tcPr>
            <w:tcW w:w="7018" w:type="dxa"/>
            <w:gridSpan w:val="3"/>
            <w:tcBorders>
              <w:top w:val="single" w:color="auto" w:sz="6" w:space="0"/>
              <w:left w:val="nil"/>
              <w:bottom w:val="double" w:color="auto" w:sz="2" w:space="0"/>
              <w:right w:val="double" w:color="auto" w:sz="2" w:space="0"/>
            </w:tcBorders>
            <w:vAlign w:val="center"/>
          </w:tcPr>
          <w:p>
            <w:pPr>
              <w:adjustRightInd w:val="0"/>
              <w:snapToGrid w:val="0"/>
              <w:spacing w:line="360" w:lineRule="auto"/>
              <w:ind w:firstLine="420" w:firstLineChars="200"/>
              <w:rPr>
                <w:rFonts w:ascii="宋体" w:hAnsi="宋体" w:eastAsia="宋体" w:cs="Times New Roman"/>
                <w:color w:val="auto"/>
                <w:szCs w:val="21"/>
                <w:highlight w:val="none"/>
              </w:rPr>
            </w:pPr>
          </w:p>
        </w:tc>
      </w:tr>
    </w:tbl>
    <w:p>
      <w:pPr>
        <w:adjustRightInd w:val="0"/>
        <w:snapToGrid w:val="0"/>
        <w:spacing w:line="360" w:lineRule="auto"/>
        <w:outlineLvl w:val="9"/>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说明：“品目代码”栏按《政府采购品目分类目录》规定填写；</w:t>
      </w:r>
    </w:p>
    <w:p>
      <w:pPr>
        <w:adjustRightInd w:val="0"/>
        <w:snapToGrid w:val="0"/>
        <w:spacing w:line="360" w:lineRule="auto"/>
        <w:rPr>
          <w:rFonts w:hint="eastAsia" w:ascii="宋体" w:hAnsi="宋体" w:cs="宋体"/>
          <w:color w:val="auto"/>
          <w:szCs w:val="21"/>
          <w:highlight w:val="none"/>
        </w:rPr>
      </w:pP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供应商（盖单位章）：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djustRightInd w:val="0"/>
        <w:snapToGrid w:val="0"/>
        <w:spacing w:line="360" w:lineRule="auto"/>
        <w:ind w:left="-88" w:leftChars="-42"/>
        <w:rPr>
          <w:rFonts w:hint="eastAsia" w:ascii="宋体" w:hAnsi="宋体" w:cs="宋体"/>
          <w:color w:val="auto"/>
          <w:szCs w:val="21"/>
          <w:highlight w:val="none"/>
        </w:rPr>
      </w:pPr>
    </w:p>
    <w:p>
      <w:pPr>
        <w:adjustRightInd w:val="0"/>
        <w:snapToGrid w:val="0"/>
        <w:spacing w:line="360" w:lineRule="auto"/>
        <w:ind w:left="-88" w:leftChars="-42"/>
        <w:rPr>
          <w:rFonts w:hint="eastAsia" w:ascii="宋体" w:hAnsi="宋体" w:cs="宋体"/>
          <w:color w:val="auto"/>
          <w:szCs w:val="21"/>
          <w:highlight w:val="none"/>
        </w:rPr>
      </w:pPr>
    </w:p>
    <w:p>
      <w:pPr>
        <w:spacing w:line="360" w:lineRule="exact"/>
        <w:outlineLvl w:val="9"/>
        <w:rPr>
          <w:rFonts w:hint="eastAsia" w:ascii="宋体"/>
          <w:color w:val="auto"/>
          <w:highlight w:val="none"/>
        </w:rPr>
      </w:pPr>
    </w:p>
    <w:p>
      <w:pPr>
        <w:adjustRightInd w:val="0"/>
        <w:snapToGrid w:val="0"/>
        <w:spacing w:line="360" w:lineRule="auto"/>
        <w:ind w:left="-88" w:leftChars="-42"/>
        <w:rPr>
          <w:rFonts w:hint="eastAsia" w:ascii="宋体" w:hAnsi="宋体"/>
          <w:color w:val="auto"/>
          <w:szCs w:val="21"/>
          <w:highlight w:val="none"/>
        </w:rPr>
      </w:pPr>
    </w:p>
    <w:p>
      <w:pPr>
        <w:adjustRightInd w:val="0"/>
        <w:snapToGrid w:val="0"/>
        <w:spacing w:line="360" w:lineRule="auto"/>
        <w:rPr>
          <w:rFonts w:hint="eastAsia" w:ascii="宋体" w:hAnsi="宋体"/>
          <w:color w:val="auto"/>
          <w:szCs w:val="21"/>
          <w:highlight w:val="none"/>
        </w:rPr>
      </w:pPr>
    </w:p>
    <w:p>
      <w:pPr>
        <w:adjustRightInd w:val="0"/>
        <w:snapToGrid w:val="0"/>
        <w:jc w:val="both"/>
        <w:outlineLvl w:val="9"/>
        <w:rPr>
          <w:rFonts w:hint="eastAsia" w:ascii="黑体" w:hAnsi="宋体" w:eastAsia="黑体"/>
          <w:b/>
          <w:color w:val="auto"/>
          <w:sz w:val="28"/>
          <w:szCs w:val="28"/>
          <w:highlight w:val="none"/>
        </w:rPr>
      </w:pPr>
    </w:p>
    <w:p>
      <w:pPr>
        <w:rPr>
          <w:rFonts w:hint="eastAsia" w:ascii="宋体" w:hAnsi="宋体" w:cs="宋体"/>
          <w:color w:val="auto"/>
          <w:szCs w:val="21"/>
          <w:highlight w:val="none"/>
        </w:rPr>
      </w:pPr>
      <w:r>
        <w:rPr>
          <w:rFonts w:hint="eastAsia" w:ascii="黑体" w:hAnsi="宋体" w:eastAsia="黑体"/>
          <w:b/>
          <w:color w:val="auto"/>
          <w:sz w:val="28"/>
          <w:szCs w:val="28"/>
          <w:highlight w:val="none"/>
        </w:rPr>
        <w:br w:type="page"/>
      </w:r>
    </w:p>
    <w:p>
      <w:pPr>
        <w:spacing w:line="264" w:lineRule="auto"/>
        <w:ind w:left="1470" w:leftChars="600" w:hanging="210" w:hangingChars="100"/>
        <w:rPr>
          <w:rFonts w:hint="eastAsia" w:ascii="宋体" w:hAnsi="宋体"/>
          <w:bCs/>
          <w:color w:val="auto"/>
          <w:szCs w:val="32"/>
          <w:highlight w:val="none"/>
        </w:rPr>
      </w:pPr>
    </w:p>
    <w:p>
      <w:pPr>
        <w:adjustRightInd w:val="0"/>
        <w:snapToGrid w:val="0"/>
        <w:spacing w:line="360" w:lineRule="auto"/>
        <w:jc w:val="center"/>
        <w:rPr>
          <w:rFonts w:hint="eastAsia" w:ascii="黑体" w:hAnsi="宋体" w:eastAsia="黑体"/>
          <w:color w:val="auto"/>
          <w:sz w:val="28"/>
          <w:szCs w:val="28"/>
          <w:highlight w:val="none"/>
        </w:rPr>
      </w:pPr>
      <w:r>
        <w:rPr>
          <w:rFonts w:hint="eastAsia" w:ascii="黑体" w:eastAsia="黑体"/>
          <w:b/>
          <w:bCs/>
          <w:color w:val="auto"/>
          <w:sz w:val="32"/>
          <w:szCs w:val="32"/>
          <w:highlight w:val="none"/>
          <w:lang w:val="en-US" w:eastAsia="zh-CN"/>
        </w:rPr>
        <w:t>七</w:t>
      </w:r>
      <w:r>
        <w:rPr>
          <w:rFonts w:hint="eastAsia" w:ascii="黑体" w:eastAsia="黑体"/>
          <w:b/>
          <w:bCs/>
          <w:color w:val="auto"/>
          <w:sz w:val="32"/>
          <w:szCs w:val="32"/>
          <w:highlight w:val="none"/>
        </w:rPr>
        <w:t>、供应商认为需要提供的其它资料</w:t>
      </w:r>
    </w:p>
    <w:p>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pPr>
        <w:adjustRightInd w:val="0"/>
        <w:snapToGrid w:val="0"/>
        <w:spacing w:before="156" w:beforeLines="50" w:line="360" w:lineRule="auto"/>
        <w:jc w:val="center"/>
        <w:outlineLvl w:val="9"/>
        <w:rPr>
          <w:rFonts w:hint="eastAsia" w:ascii="黑体" w:hAnsi="宋体" w:eastAsia="黑体"/>
          <w:b/>
          <w:color w:val="auto"/>
          <w:sz w:val="32"/>
          <w:szCs w:val="32"/>
          <w:highlight w:val="none"/>
        </w:rPr>
      </w:pPr>
    </w:p>
    <w:p>
      <w:pPr>
        <w:adjustRightInd w:val="0"/>
        <w:snapToGrid w:val="0"/>
        <w:spacing w:before="156" w:beforeLines="50" w:line="360" w:lineRule="auto"/>
        <w:outlineLvl w:val="9"/>
        <w:rPr>
          <w:rFonts w:hint="eastAsia" w:ascii="黑体" w:hAnsi="宋体" w:eastAsia="黑体"/>
          <w:b/>
          <w:color w:val="auto"/>
          <w:sz w:val="32"/>
          <w:szCs w:val="32"/>
          <w:highlight w:val="none"/>
        </w:rPr>
      </w:pPr>
    </w:p>
    <w:p>
      <w:pPr>
        <w:pStyle w:val="172"/>
        <w:rPr>
          <w:rFonts w:hint="eastAsia" w:ascii="黑体" w:hAnsi="宋体" w:eastAsia="黑体"/>
          <w:b/>
          <w:color w:val="auto"/>
          <w:sz w:val="32"/>
          <w:szCs w:val="32"/>
          <w:highlight w:val="none"/>
        </w:rPr>
      </w:pPr>
    </w:p>
    <w:p>
      <w:pPr>
        <w:pStyle w:val="172"/>
        <w:rPr>
          <w:rFonts w:hint="eastAsia" w:ascii="黑体" w:hAnsi="宋体" w:eastAsia="黑体"/>
          <w:b/>
          <w:color w:val="auto"/>
          <w:sz w:val="32"/>
          <w:szCs w:val="32"/>
          <w:highlight w:val="none"/>
        </w:rPr>
      </w:pPr>
    </w:p>
    <w:p>
      <w:pPr>
        <w:bidi w:val="0"/>
        <w:jc w:val="center"/>
        <w:rPr>
          <w:rFonts w:hint="eastAsia" w:ascii="黑体" w:hAnsi="宋体" w:eastAsia="黑体"/>
          <w:b/>
          <w:color w:val="auto"/>
          <w:szCs w:val="32"/>
          <w:highlight w:val="none"/>
        </w:rPr>
      </w:pPr>
      <w:r>
        <w:rPr>
          <w:rFonts w:hint="eastAsia"/>
          <w:b/>
          <w:bCs/>
          <w:color w:val="auto"/>
          <w:sz w:val="28"/>
          <w:szCs w:val="28"/>
          <w:highlight w:val="none"/>
          <w:lang w:val="en-US" w:eastAsia="zh-CN"/>
        </w:rPr>
        <w:t>八</w:t>
      </w:r>
      <w:r>
        <w:rPr>
          <w:rFonts w:hint="eastAsia"/>
          <w:b/>
          <w:bCs/>
          <w:color w:val="auto"/>
          <w:sz w:val="28"/>
          <w:szCs w:val="28"/>
          <w:highlight w:val="none"/>
        </w:rPr>
        <w:t>、最后报价</w:t>
      </w:r>
    </w:p>
    <w:p>
      <w:pPr>
        <w:adjustRightInd w:val="0"/>
        <w:snapToGrid w:val="0"/>
        <w:ind w:left="-88" w:leftChars="-42"/>
        <w:rPr>
          <w:rFonts w:hint="eastAsia" w:ascii="宋体" w:hAnsi="宋体"/>
          <w:color w:val="auto"/>
          <w:szCs w:val="21"/>
          <w:highlight w:val="none"/>
        </w:rPr>
      </w:pPr>
    </w:p>
    <w:p>
      <w:pPr>
        <w:keepNext w:val="0"/>
        <w:keepLines w:val="0"/>
        <w:pageBreakBefore w:val="0"/>
        <w:kinsoku/>
        <w:overflowPunct/>
        <w:bidi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说明：</w:t>
      </w:r>
    </w:p>
    <w:p>
      <w:pPr>
        <w:keepNext w:val="0"/>
        <w:keepLines w:val="0"/>
        <w:pageBreakBefore w:val="0"/>
        <w:kinsoku/>
        <w:overflowPunct/>
        <w:bidi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color w:val="auto"/>
          <w:szCs w:val="21"/>
          <w:highlight w:val="none"/>
        </w:rPr>
        <w:t>按附件</w:t>
      </w:r>
      <w:r>
        <w:rPr>
          <w:rFonts w:hint="eastAsia"/>
          <w:color w:val="auto"/>
          <w:szCs w:val="21"/>
          <w:highlight w:val="none"/>
          <w:lang w:val="en-US" w:eastAsia="zh-CN"/>
        </w:rPr>
        <w:t>8</w:t>
      </w:r>
      <w:r>
        <w:rPr>
          <w:rFonts w:hint="eastAsia"/>
          <w:color w:val="auto"/>
          <w:szCs w:val="21"/>
          <w:highlight w:val="none"/>
        </w:rPr>
        <w:t>格式提供</w:t>
      </w:r>
      <w:r>
        <w:rPr>
          <w:rFonts w:hint="eastAsia" w:ascii="宋体" w:hAnsi="宋体"/>
          <w:color w:val="auto"/>
          <w:szCs w:val="21"/>
          <w:highlight w:val="none"/>
          <w:lang w:eastAsia="zh-CN"/>
        </w:rPr>
        <w:t>，</w:t>
      </w:r>
      <w:r>
        <w:rPr>
          <w:rFonts w:hint="eastAsia"/>
          <w:color w:val="auto"/>
          <w:szCs w:val="21"/>
          <w:highlight w:val="none"/>
        </w:rPr>
        <w:t>由法定代表人或委托代理人签字即可</w:t>
      </w:r>
      <w:r>
        <w:rPr>
          <w:rFonts w:hint="eastAsia" w:ascii="宋体" w:hAnsi="宋体"/>
          <w:color w:val="auto"/>
          <w:szCs w:val="21"/>
          <w:highlight w:val="none"/>
        </w:rPr>
        <w:t>。</w:t>
      </w:r>
    </w:p>
    <w:p>
      <w:pPr>
        <w:keepNext w:val="0"/>
        <w:keepLines w:val="0"/>
        <w:pageBreakBefore w:val="0"/>
        <w:kinsoku/>
        <w:overflowPunct/>
        <w:bidi w:val="0"/>
        <w:adjustRightInd w:val="0"/>
        <w:snapToGrid w:val="0"/>
        <w:spacing w:line="360" w:lineRule="auto"/>
        <w:ind w:left="-88" w:leftChars="-42" w:firstLine="525" w:firstLineChars="250"/>
        <w:rPr>
          <w:rFonts w:hint="eastAsia" w:ascii="宋体" w:hAnsi="宋体"/>
          <w:color w:val="auto"/>
          <w:szCs w:val="21"/>
          <w:highlight w:val="none"/>
        </w:rPr>
      </w:pPr>
      <w:r>
        <w:rPr>
          <w:rFonts w:hint="eastAsia" w:ascii="宋体" w:hAnsi="宋体"/>
          <w:color w:val="auto"/>
          <w:szCs w:val="21"/>
          <w:highlight w:val="none"/>
        </w:rPr>
        <w:t>2、最后报价须在备注中注明。</w:t>
      </w:r>
    </w:p>
    <w:p>
      <w:pPr>
        <w:spacing w:line="360" w:lineRule="auto"/>
        <w:ind w:firstLine="420" w:firstLineChars="200"/>
        <w:rPr>
          <w:rFonts w:hint="eastAsia" w:ascii="宋体" w:hAnsi="宋体"/>
          <w:color w:val="auto"/>
          <w:szCs w:val="21"/>
          <w:highlight w:val="none"/>
        </w:rPr>
      </w:pPr>
    </w:p>
    <w:p>
      <w:pPr>
        <w:bidi w:val="0"/>
        <w:rPr>
          <w:rFonts w:hint="eastAsia"/>
          <w:color w:val="auto"/>
          <w:highlight w:val="none"/>
          <w:lang w:eastAsia="zh-CN"/>
        </w:rPr>
      </w:pPr>
    </w:p>
    <w:p>
      <w:pPr>
        <w:rPr>
          <w:color w:val="auto"/>
          <w:highlight w:val="none"/>
        </w:rPr>
      </w:pPr>
    </w:p>
    <w:sectPr>
      <w:pgSz w:w="11906" w:h="16838"/>
      <w:pgMar w:top="1440" w:right="1474" w:bottom="1440" w:left="1474" w:header="851" w:footer="624" w:gutter="0"/>
      <w:pgNumType w:fmt="decimal"/>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001010101"/>
    <w:charset w:val="86"/>
    <w:family w:val="auto"/>
    <w:pitch w:val="default"/>
    <w:sig w:usb0="00000000" w:usb1="0000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宋体-PUA">
    <w:altName w:val="微软雅黑"/>
    <w:panose1 w:val="02010600030000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eastAsia="宋体" w:cs="宋体"/>
        <w:lang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4"/>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KAYRjUAQAAnw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fx1sqgLuKKTt+EGxgwpTHr7Bmz6khLWZ1tPF1tVH5mkzflysVyW5Lik2pQQTnF/PQDGj8pb&#10;loKKA71btlMcP2Mcjk5HUjfj0ur8tTZmqKadItEciKUo9rt+ZLvz9Ylk0tQTeOvhB2cdvXnFHY04&#10;Z+aTI0vTeEwBTMFuCoSTdLHikbNDAL1v8yglGhg+HCJRyTxT46HbyIfeLSsdZywNxv95PnX/X23u&#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CSgGEY1AEAAJ8DAAAOAAAAAAAAAAEAIAAAAB8B&#10;AABkcnMvZTJvRG9jLnhtbFBLBQYAAAAABgAGAFkBAABlBQ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rPr>
      <w:drawing>
        <wp:inline distT="0" distB="0" distL="0" distR="0">
          <wp:extent cx="334645" cy="282575"/>
          <wp:effectExtent l="0" t="0" r="8255" b="3175"/>
          <wp:docPr id="4098" name="图片 1" descr="中技LOGO"/>
          <wp:cNvGraphicFramePr/>
          <a:graphic xmlns:a="http://schemas.openxmlformats.org/drawingml/2006/main">
            <a:graphicData uri="http://schemas.openxmlformats.org/drawingml/2006/picture">
              <pic:pic xmlns:pic="http://schemas.openxmlformats.org/drawingml/2006/picture">
                <pic:nvPicPr>
                  <pic:cNvPr id="4098" name="图片 1" descr="中技LOGO"/>
                  <pic:cNvPicPr/>
                </pic:nvPicPr>
                <pic:blipFill>
                  <a:blip r:embed="rId1" cstate="print"/>
                  <a:srcRect/>
                  <a:stretch>
                    <a:fillRect/>
                  </a:stretch>
                </pic:blipFill>
                <pic:spPr>
                  <a:xfrm>
                    <a:off x="0" y="0"/>
                    <a:ext cx="334645" cy="282575"/>
                  </a:xfrm>
                  <a:prstGeom prst="rect">
                    <a:avLst/>
                  </a:prstGeom>
                  <a:ln>
                    <a:noFill/>
                  </a:ln>
                </pic:spPr>
              </pic:pic>
            </a:graphicData>
          </a:graphic>
        </wp:inline>
      </w:drawing>
    </w:r>
    <w:r>
      <w:rPr>
        <w:rFonts w:hint="eastAsia" w:cs="宋体"/>
        <w:lang w:eastAsia="zh-CN"/>
      </w:rPr>
      <w:t>湘能卓信项目管理有限公司</w:t>
    </w:r>
  </w:p>
  <w:p>
    <w:pPr>
      <w:pStyle w:val="2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lear" w:pos="4153"/>
      </w:tabs>
      <w:ind w:right="360"/>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4"/>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Ba2Z3LTAQAAnwMAAA4AAAAAAAAAAQAgAAAAHwEA&#10;AGRycy9lMm9Eb2MueG1sUEsFBgAAAAAGAAYAWQEAAGQFA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ascii="仿宋" w:hAnsi="仿宋" w:eastAsia="仿宋" w:cs="仿宋"/>
        <w:lang w:eastAsia="zh-CN"/>
      </w:rPr>
      <w:t>湘能卓信项目管理有限公司</w:t>
    </w:r>
    <w:r>
      <w:rPr>
        <w:rFonts w:hint="eastAsia" w:ascii="仿宋" w:hAnsi="仿宋" w:eastAsia="仿宋" w:cs="仿宋"/>
        <w:lang w:eastAsia="zh-CN"/>
      </w:rPr>
      <w:tab/>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4"/>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QFtuS0QEAAJ8DAAAOAAAAAAAAAAEAIAAAAB8BAABk&#10;cnMvZTJvRG9jLnhtbFBLBQYAAAAABgAGAFkBAABiBQ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2</w:t>
                    </w:r>
                    <w:r>
                      <w:fldChar w:fldCharType="end"/>
                    </w:r>
                  </w:p>
                </w:txbxContent>
              </v:textbox>
            </v:rect>
          </w:pict>
        </mc:Fallback>
      </mc:AlternateContent>
    </w:r>
    <w:r>
      <w:rPr>
        <w:rFonts w:hint="eastAsia" w:ascii="仿宋" w:hAnsi="仿宋" w:eastAsia="仿宋" w:cs="仿宋"/>
        <w:lang w:eastAsia="zh-CN"/>
      </w:rPr>
      <w:t>湘能卓信项目管理有限公司</w:t>
    </w:r>
  </w:p>
  <w:p>
    <w:pPr>
      <w:pStyle w:val="24"/>
      <w:jc w:val="center"/>
    </w:pPr>
  </w:p>
  <w:p>
    <w:pPr>
      <w:pStyle w:val="24"/>
      <w:ind w:right="360"/>
      <w:rPr>
        <w:rFonts w:cs="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pPr>
    <w:r>
      <w:rPr>
        <w:rFonts w:hint="eastAsia" w:ascii="仿宋" w:hAnsi="仿宋" w:eastAsia="仿宋" w:cs="仿宋"/>
      </w:rPr>
      <mc:AlternateContent>
        <mc:Choice Requires="wps">
          <w:drawing>
            <wp:anchor distT="0" distB="0" distL="0" distR="0" simplePos="0" relativeHeight="251659264" behindDoc="0" locked="0" layoutInCell="1" allowOverlap="1">
              <wp:simplePos x="0" y="0"/>
              <wp:positionH relativeFrom="margin">
                <wp:posOffset>2859405</wp:posOffset>
              </wp:positionH>
              <wp:positionV relativeFrom="paragraph">
                <wp:posOffset>0</wp:posOffset>
              </wp:positionV>
              <wp:extent cx="114935" cy="131445"/>
              <wp:effectExtent l="0" t="0" r="0" b="0"/>
              <wp:wrapNone/>
              <wp:docPr id="4101" name="文本框 5"/>
              <wp:cNvGraphicFramePr/>
              <a:graphic xmlns:a="http://schemas.openxmlformats.org/drawingml/2006/main">
                <a:graphicData uri="http://schemas.microsoft.com/office/word/2010/wordprocessingShape">
                  <wps:wsp>
                    <wps:cNvSpPr/>
                    <wps:spPr>
                      <a:xfrm>
                        <a:off x="0" y="0"/>
                        <a:ext cx="114935" cy="131445"/>
                      </a:xfrm>
                      <a:prstGeom prst="rect">
                        <a:avLst/>
                      </a:prstGeom>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29</w:t>
                          </w:r>
                          <w:r>
                            <w:rPr>
                              <w:rFonts w:hint="eastAsia"/>
                              <w:sz w:val="18"/>
                            </w:rPr>
                            <w:fldChar w:fldCharType="end"/>
                          </w:r>
                        </w:p>
                      </w:txbxContent>
                    </wps:txbx>
                    <wps:bodyPr wrap="none" lIns="0" tIns="0" rIns="0" bIns="0">
                      <a:spAutoFit/>
                    </wps:bodyPr>
                  </wps:wsp>
                </a:graphicData>
              </a:graphic>
            </wp:anchor>
          </w:drawing>
        </mc:Choice>
        <mc:Fallback>
          <w:pict>
            <v:rect id="文本框 5" o:spid="_x0000_s1026" o:spt="1" style="position:absolute;left:0pt;margin-left:225.15pt;margin-top:0pt;height:10.35pt;width:9.05pt;mso-position-horizontal-relative:margin;mso-wrap-style:none;z-index:251659264;mso-width-relative:page;mso-height-relative:page;" filled="f" stroked="f" coordsize="21600,21600" o:gfxdata="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mzk27VAAAABwEAAA8AAAAAAAAAAQAgAAAAIgAAAGRycy9kb3ducmV2LnhtbFBL&#10;AQIUABQAAAAIAIdO4kAy3xE/wAEAAHkDAAAOAAAAAAAAAAEAIAAAACQBAABkcnMvZTJvRG9jLnht&#10;bFBLBQYAAAAABgAGAFkBAABW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29</w:t>
                    </w:r>
                    <w:r>
                      <w:rPr>
                        <w:rFonts w:hint="eastAsia"/>
                        <w:sz w:val="18"/>
                      </w:rPr>
                      <w:fldChar w:fldCharType="end"/>
                    </w:r>
                  </w:p>
                </w:txbxContent>
              </v:textbox>
            </v:rect>
          </w:pict>
        </mc:Fallback>
      </mc:AlternateContent>
    </w:r>
    <w:r>
      <w:rPr>
        <w:rFonts w:hint="eastAsia" w:ascii="仿宋" w:hAnsi="仿宋" w:eastAsia="仿宋" w:cs="仿宋"/>
        <w:lang w:eastAsia="zh-CN"/>
      </w:rPr>
      <w:t>湘能卓信项目管理有限公司</w:t>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4" w:space="0"/>
      </w:pBdr>
      <w:adjustRightInd w:val="0"/>
      <w:snapToGrid w:val="0"/>
      <w:spacing w:line="360" w:lineRule="auto"/>
      <w:rPr>
        <w:rFonts w:ascii="仿宋" w:hAnsi="仿宋" w:cs="仿宋"/>
      </w:rPr>
    </w:pPr>
    <w:r>
      <w:rPr>
        <w:rFonts w:hint="eastAsia" w:ascii="Times New Roman" w:hAnsi="Times New Roman" w:cs="Times New Roman"/>
        <w:sz w:val="18"/>
        <w:szCs w:val="18"/>
        <w:lang w:eastAsia="zh-CN"/>
      </w:rPr>
      <w:t>娄星南路北段及众园路建设工程回购款利息及借款利息咨询服务项目</w:t>
    </w:r>
    <w:r>
      <w:rPr>
        <w:rFonts w:hint="eastAsia" w:ascii="Times New Roman" w:hAnsi="Times New Roman" w:cs="Times New Roman"/>
        <w:sz w:val="18"/>
        <w:szCs w:val="18"/>
      </w:rPr>
      <w:t xml:space="preserve">    </w:t>
    </w:r>
    <w:r>
      <w:rPr>
        <w:rFonts w:hint="eastAsia" w:ascii="Times New Roman" w:hAnsi="Times New Roman" w:cs="Times New Roman"/>
        <w:sz w:val="18"/>
        <w:szCs w:val="18"/>
        <w:lang w:val="en-US" w:eastAsia="zh-CN"/>
      </w:rPr>
      <w:t xml:space="preserve">        </w:t>
    </w:r>
    <w:r>
      <w:rPr>
        <w:rFonts w:hint="eastAsia" w:ascii="Times New Roman" w:hAnsi="Times New Roman" w:cs="Times New Roman"/>
        <w:sz w:val="18"/>
        <w:szCs w:val="18"/>
      </w:rPr>
      <w:t xml:space="preserve">    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4" w:space="0"/>
      </w:pBdr>
      <w:adjustRightInd w:val="0"/>
      <w:snapToGrid w:val="0"/>
      <w:spacing w:line="360" w:lineRule="auto"/>
    </w:pPr>
    <w:r>
      <w:rPr>
        <w:rFonts w:hint="eastAsia" w:ascii="仿宋" w:hAnsi="仿宋" w:eastAsia="仿宋" w:cs="仿宋"/>
        <w:sz w:val="18"/>
        <w:szCs w:val="18"/>
      </w:rPr>
      <w:t xml:space="preserve">娄星南路北段及众园路建设工程回购款利息及借款利息咨询服务项目 </w:t>
    </w:r>
    <w:r>
      <w:rPr>
        <w:rFonts w:hint="eastAsia" w:ascii="仿宋" w:hAnsi="仿宋" w:eastAsia="仿宋" w:cs="仿宋"/>
        <w:sz w:val="18"/>
        <w:szCs w:val="18"/>
        <w:lang w:val="en-US" w:eastAsia="zh-CN"/>
      </w:rPr>
      <w:t xml:space="preserve">               </w:t>
    </w:r>
    <w:r>
      <w:rPr>
        <w:rFonts w:hint="eastAsia" w:ascii="Times New Roman" w:hAnsi="Times New Roman" w:cs="Times New Roman"/>
        <w:sz w:val="18"/>
        <w:szCs w:val="18"/>
      </w:rPr>
      <w:t>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NWY2MDFkNWQ0ZTZlZmRmNjY4NmI3NjdkZjc4ZWEifQ=="/>
  </w:docVars>
  <w:rsids>
    <w:rsidRoot w:val="00000000"/>
    <w:rsid w:val="02001A61"/>
    <w:rsid w:val="0CF83AC8"/>
    <w:rsid w:val="14666EA7"/>
    <w:rsid w:val="3E533CFF"/>
    <w:rsid w:val="5D860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5"/>
    <w:qFormat/>
    <w:uiPriority w:val="0"/>
    <w:pPr>
      <w:keepNext/>
    </w:pPr>
    <w:rPr>
      <w:bCs/>
      <w:kern w:val="32"/>
      <w:szCs w:val="32"/>
    </w:rPr>
  </w:style>
  <w:style w:type="paragraph" w:styleId="4">
    <w:name w:val="heading 2"/>
    <w:basedOn w:val="1"/>
    <w:next w:val="1"/>
    <w:link w:val="98"/>
    <w:qFormat/>
    <w:uiPriority w:val="0"/>
    <w:pPr>
      <w:keepLines/>
      <w:spacing w:line="413" w:lineRule="auto"/>
      <w:outlineLvl w:val="1"/>
    </w:pPr>
  </w:style>
  <w:style w:type="paragraph" w:styleId="5">
    <w:name w:val="heading 3"/>
    <w:basedOn w:val="1"/>
    <w:next w:val="1"/>
    <w:link w:val="99"/>
    <w:qFormat/>
    <w:uiPriority w:val="0"/>
    <w:pPr>
      <w:spacing w:line="480" w:lineRule="atLeast"/>
      <w:jc w:val="left"/>
      <w:outlineLvl w:val="2"/>
    </w:pPr>
    <w:rPr>
      <w:rFonts w:hint="eastAsia" w:ascii="宋体" w:hAnsi="宋体"/>
      <w:b/>
      <w:color w:val="AAAAAA"/>
      <w:kern w:val="0"/>
      <w:sz w:val="27"/>
      <w:szCs w:val="27"/>
    </w:rPr>
  </w:style>
  <w:style w:type="paragraph" w:styleId="6">
    <w:name w:val="heading 4"/>
    <w:basedOn w:val="1"/>
    <w:next w:val="1"/>
    <w:link w:val="92"/>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93"/>
    <w:qFormat/>
    <w:uiPriority w:val="0"/>
    <w:pPr>
      <w:keepNext/>
      <w:keepLines/>
      <w:spacing w:before="280" w:after="290" w:line="372" w:lineRule="auto"/>
      <w:outlineLvl w:val="4"/>
    </w:pPr>
    <w:rPr>
      <w:b/>
      <w:sz w:val="28"/>
      <w:szCs w:val="20"/>
    </w:rPr>
  </w:style>
  <w:style w:type="paragraph" w:styleId="8">
    <w:name w:val="heading 6"/>
    <w:basedOn w:val="1"/>
    <w:next w:val="1"/>
    <w:link w:val="94"/>
    <w:qFormat/>
    <w:uiPriority w:val="0"/>
    <w:pPr>
      <w:keepNext/>
      <w:keepLines/>
      <w:widowControl/>
      <w:tabs>
        <w:tab w:val="left" w:pos="1440"/>
      </w:tabs>
      <w:spacing w:before="240" w:after="64" w:line="317" w:lineRule="auto"/>
      <w:ind w:left="1152" w:hanging="1152"/>
      <w:jc w:val="left"/>
      <w:outlineLvl w:val="5"/>
    </w:pPr>
    <w:rPr>
      <w:rFonts w:ascii="Arial" w:hAnsi="Arial" w:eastAsia="黑体"/>
      <w:b/>
      <w:sz w:val="24"/>
      <w:szCs w:val="20"/>
    </w:rPr>
  </w:style>
  <w:style w:type="paragraph" w:styleId="9">
    <w:name w:val="heading 7"/>
    <w:basedOn w:val="1"/>
    <w:next w:val="1"/>
    <w:link w:val="95"/>
    <w:qFormat/>
    <w:uiPriority w:val="0"/>
    <w:pPr>
      <w:keepNext/>
      <w:keepLines/>
      <w:widowControl/>
      <w:tabs>
        <w:tab w:val="left" w:pos="2520"/>
      </w:tabs>
      <w:spacing w:before="240" w:after="64" w:line="317" w:lineRule="auto"/>
      <w:ind w:left="1296" w:hanging="1296"/>
      <w:jc w:val="left"/>
      <w:outlineLvl w:val="6"/>
    </w:pPr>
    <w:rPr>
      <w:b/>
      <w:sz w:val="24"/>
      <w:szCs w:val="20"/>
    </w:rPr>
  </w:style>
  <w:style w:type="paragraph" w:styleId="10">
    <w:name w:val="heading 8"/>
    <w:basedOn w:val="1"/>
    <w:next w:val="1"/>
    <w:link w:val="96"/>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szCs w:val="20"/>
    </w:rPr>
  </w:style>
  <w:style w:type="paragraph" w:styleId="11">
    <w:name w:val="heading 9"/>
    <w:basedOn w:val="1"/>
    <w:next w:val="1"/>
    <w:link w:val="97"/>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0"/>
    </w:rPr>
  </w:style>
  <w:style w:type="character" w:default="1" w:styleId="34">
    <w:name w:val="Default Paragraph Font"/>
    <w:qFormat/>
    <w:uiPriority w:val="1"/>
  </w:style>
  <w:style w:type="table" w:default="1" w:styleId="32">
    <w:name w:val="Normal Table"/>
    <w:qFormat/>
    <w:uiPriority w:val="99"/>
    <w:tblPr>
      <w:tblCellMar>
        <w:top w:w="0" w:type="dxa"/>
        <w:left w:w="108" w:type="dxa"/>
        <w:bottom w:w="0" w:type="dxa"/>
        <w:right w:w="108" w:type="dxa"/>
      </w:tblCellMar>
    </w:tblPr>
  </w:style>
  <w:style w:type="paragraph" w:styleId="2">
    <w:name w:val="toc 1"/>
    <w:basedOn w:val="1"/>
    <w:next w:val="1"/>
    <w:qFormat/>
    <w:uiPriority w:val="99"/>
    <w:rPr>
      <w:rFonts w:ascii="华文中宋" w:eastAsia="华文中宋"/>
      <w:b/>
      <w:sz w:val="28"/>
      <w:szCs w:val="28"/>
    </w:rPr>
  </w:style>
  <w:style w:type="paragraph" w:styleId="12">
    <w:name w:val="Normal Indent"/>
    <w:basedOn w:val="1"/>
    <w:next w:val="13"/>
    <w:qFormat/>
    <w:uiPriority w:val="0"/>
    <w:pPr>
      <w:widowControl/>
      <w:ind w:firstLine="420"/>
      <w:jc w:val="left"/>
    </w:pPr>
    <w:rPr>
      <w:kern w:val="0"/>
      <w:sz w:val="20"/>
      <w:szCs w:val="20"/>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4">
    <w:name w:val="Document Map"/>
    <w:basedOn w:val="1"/>
    <w:link w:val="121"/>
    <w:qFormat/>
    <w:uiPriority w:val="0"/>
    <w:pPr>
      <w:shd w:val="clear" w:color="auto" w:fill="000080"/>
    </w:pPr>
    <w:rPr>
      <w:kern w:val="0"/>
      <w:sz w:val="20"/>
      <w:shd w:val="clear" w:color="auto" w:fill="000080"/>
    </w:rPr>
  </w:style>
  <w:style w:type="paragraph" w:styleId="15">
    <w:name w:val="toa heading"/>
    <w:basedOn w:val="1"/>
    <w:next w:val="1"/>
    <w:qFormat/>
    <w:uiPriority w:val="99"/>
    <w:rPr>
      <w:rFonts w:ascii="Arial" w:hAnsi="Arial"/>
      <w:sz w:val="24"/>
    </w:rPr>
  </w:style>
  <w:style w:type="paragraph" w:styleId="16">
    <w:name w:val="annotation text"/>
    <w:basedOn w:val="1"/>
    <w:link w:val="114"/>
    <w:qFormat/>
    <w:uiPriority w:val="0"/>
    <w:pPr>
      <w:jc w:val="left"/>
    </w:pPr>
  </w:style>
  <w:style w:type="paragraph" w:styleId="17">
    <w:name w:val="Body Text"/>
    <w:basedOn w:val="1"/>
    <w:next w:val="18"/>
    <w:link w:val="120"/>
    <w:qFormat/>
    <w:uiPriority w:val="0"/>
    <w:pPr>
      <w:spacing w:after="120"/>
    </w:pPr>
  </w:style>
  <w:style w:type="paragraph" w:styleId="18">
    <w:name w:val="Body Text 2"/>
    <w:basedOn w:val="1"/>
    <w:next w:val="17"/>
    <w:qFormat/>
    <w:uiPriority w:val="0"/>
    <w:pPr>
      <w:spacing w:after="120" w:line="480" w:lineRule="auto"/>
    </w:pPr>
  </w:style>
  <w:style w:type="paragraph" w:styleId="19">
    <w:name w:val="Body Text Indent"/>
    <w:basedOn w:val="1"/>
    <w:next w:val="1"/>
    <w:qFormat/>
    <w:uiPriority w:val="0"/>
    <w:pPr>
      <w:spacing w:after="120"/>
      <w:ind w:left="420" w:leftChars="200"/>
    </w:pPr>
  </w:style>
  <w:style w:type="paragraph" w:styleId="20">
    <w:name w:val="Plain Text"/>
    <w:basedOn w:val="1"/>
    <w:link w:val="117"/>
    <w:qFormat/>
    <w:uiPriority w:val="0"/>
    <w:rPr>
      <w:rFonts w:ascii="宋体" w:hAnsi="Courier New" w:cs="Courier New"/>
      <w:szCs w:val="21"/>
    </w:rPr>
  </w:style>
  <w:style w:type="paragraph" w:styleId="21">
    <w:name w:val="Date"/>
    <w:basedOn w:val="1"/>
    <w:next w:val="1"/>
    <w:link w:val="110"/>
    <w:qFormat/>
    <w:uiPriority w:val="0"/>
    <w:rPr>
      <w:sz w:val="24"/>
      <w:szCs w:val="20"/>
    </w:rPr>
  </w:style>
  <w:style w:type="paragraph" w:styleId="22">
    <w:name w:val="Body Text Indent 2"/>
    <w:basedOn w:val="1"/>
    <w:qFormat/>
    <w:uiPriority w:val="99"/>
    <w:pPr>
      <w:ind w:firstLine="420" w:firstLineChars="200"/>
    </w:pPr>
    <w:rPr>
      <w:kern w:val="0"/>
      <w:sz w:val="20"/>
    </w:rPr>
  </w:style>
  <w:style w:type="paragraph" w:styleId="23">
    <w:name w:val="Balloon Text"/>
    <w:basedOn w:val="1"/>
    <w:link w:val="57"/>
    <w:qFormat/>
    <w:uiPriority w:val="0"/>
    <w:rPr>
      <w:sz w:val="18"/>
      <w:szCs w:val="18"/>
    </w:rPr>
  </w:style>
  <w:style w:type="paragraph" w:styleId="24">
    <w:name w:val="footer"/>
    <w:basedOn w:val="1"/>
    <w:link w:val="100"/>
    <w:qFormat/>
    <w:uiPriority w:val="0"/>
    <w:pPr>
      <w:tabs>
        <w:tab w:val="center" w:pos="4153"/>
        <w:tab w:val="right" w:pos="8306"/>
      </w:tabs>
      <w:snapToGrid w:val="0"/>
      <w:jc w:val="left"/>
    </w:pPr>
    <w:rPr>
      <w:sz w:val="18"/>
      <w:szCs w:val="18"/>
    </w:rPr>
  </w:style>
  <w:style w:type="paragraph" w:styleId="25">
    <w:name w:val="header"/>
    <w:basedOn w:val="1"/>
    <w:link w:val="101"/>
    <w:qFormat/>
    <w:uiPriority w:val="0"/>
    <w:pPr>
      <w:pBdr>
        <w:bottom w:val="single" w:color="auto" w:sz="6" w:space="1"/>
      </w:pBdr>
      <w:tabs>
        <w:tab w:val="center" w:pos="4153"/>
        <w:tab w:val="right" w:pos="8306"/>
      </w:tabs>
      <w:snapToGrid w:val="0"/>
      <w:jc w:val="center"/>
    </w:pPr>
    <w:rPr>
      <w:sz w:val="18"/>
      <w:szCs w:val="18"/>
    </w:rPr>
  </w:style>
  <w:style w:type="paragraph" w:styleId="26">
    <w:name w:val="Body Text Indent 3"/>
    <w:basedOn w:val="1"/>
    <w:link w:val="108"/>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27">
    <w:name w:val="table of figures"/>
    <w:basedOn w:val="1"/>
    <w:next w:val="1"/>
    <w:qFormat/>
    <w:uiPriority w:val="99"/>
    <w:pPr>
      <w:ind w:leftChars="200" w:hanging="200" w:hangingChars="200"/>
    </w:pPr>
  </w:style>
  <w:style w:type="paragraph" w:styleId="2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9">
    <w:name w:val="Title"/>
    <w:basedOn w:val="1"/>
    <w:next w:val="1"/>
    <w:link w:val="106"/>
    <w:qFormat/>
    <w:uiPriority w:val="0"/>
    <w:pPr>
      <w:jc w:val="center"/>
      <w:outlineLvl w:val="0"/>
    </w:pPr>
    <w:rPr>
      <w:rFonts w:ascii="Cambria" w:hAnsi="Cambria"/>
      <w:b/>
      <w:sz w:val="32"/>
    </w:rPr>
  </w:style>
  <w:style w:type="paragraph" w:styleId="30">
    <w:name w:val="annotation subject"/>
    <w:basedOn w:val="16"/>
    <w:next w:val="16"/>
    <w:link w:val="112"/>
    <w:qFormat/>
    <w:uiPriority w:val="0"/>
    <w:rPr>
      <w:b/>
      <w:szCs w:val="20"/>
    </w:rPr>
  </w:style>
  <w:style w:type="paragraph" w:styleId="31">
    <w:name w:val="Body Text First Indent 2"/>
    <w:basedOn w:val="19"/>
    <w:next w:val="12"/>
    <w:qFormat/>
    <w:uiPriority w:val="0"/>
    <w:pPr>
      <w:ind w:firstLine="42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basedOn w:val="34"/>
    <w:qFormat/>
    <w:uiPriority w:val="0"/>
    <w:rPr>
      <w:color w:val="444444"/>
      <w:u w:val="none"/>
    </w:rPr>
  </w:style>
  <w:style w:type="character" w:styleId="38">
    <w:name w:val="Emphasis"/>
    <w:basedOn w:val="34"/>
    <w:qFormat/>
    <w:uiPriority w:val="0"/>
    <w:rPr>
      <w:color w:val="CC0000"/>
    </w:rPr>
  </w:style>
  <w:style w:type="character" w:styleId="39">
    <w:name w:val="HTML Definition"/>
    <w:basedOn w:val="34"/>
    <w:qFormat/>
    <w:uiPriority w:val="0"/>
  </w:style>
  <w:style w:type="character" w:styleId="40">
    <w:name w:val="HTML Typewriter"/>
    <w:basedOn w:val="34"/>
    <w:qFormat/>
    <w:uiPriority w:val="0"/>
    <w:rPr>
      <w:rFonts w:hint="default" w:ascii="Courier New" w:hAnsi="Courier New" w:cs="Courier New"/>
      <w:sz w:val="20"/>
    </w:rPr>
  </w:style>
  <w:style w:type="character" w:styleId="41">
    <w:name w:val="HTML Variable"/>
    <w:basedOn w:val="34"/>
    <w:qFormat/>
    <w:uiPriority w:val="0"/>
  </w:style>
  <w:style w:type="character" w:styleId="42">
    <w:name w:val="Hyperlink"/>
    <w:basedOn w:val="34"/>
    <w:qFormat/>
    <w:uiPriority w:val="0"/>
    <w:rPr>
      <w:color w:val="444444"/>
      <w:u w:val="none"/>
    </w:rPr>
  </w:style>
  <w:style w:type="character" w:styleId="43">
    <w:name w:val="HTML Code"/>
    <w:basedOn w:val="34"/>
    <w:qFormat/>
    <w:uiPriority w:val="0"/>
    <w:rPr>
      <w:rFonts w:ascii="Courier New" w:hAnsi="Courier New" w:eastAsia="Courier New" w:cs="Courier New"/>
      <w:sz w:val="20"/>
    </w:rPr>
  </w:style>
  <w:style w:type="character" w:styleId="44">
    <w:name w:val="HTML Cite"/>
    <w:basedOn w:val="34"/>
    <w:qFormat/>
    <w:uiPriority w:val="0"/>
    <w:rPr>
      <w:color w:val="008000"/>
    </w:rPr>
  </w:style>
  <w:style w:type="character" w:styleId="45">
    <w:name w:val="HTML Keyboard"/>
    <w:basedOn w:val="34"/>
    <w:qFormat/>
    <w:uiPriority w:val="0"/>
    <w:rPr>
      <w:rFonts w:hint="default" w:ascii="Courier New" w:hAnsi="Courier New" w:eastAsia="Courier New" w:cs="Courier New"/>
      <w:sz w:val="20"/>
    </w:rPr>
  </w:style>
  <w:style w:type="character" w:styleId="46">
    <w:name w:val="HTML Sample"/>
    <w:basedOn w:val="34"/>
    <w:qFormat/>
    <w:uiPriority w:val="0"/>
    <w:rPr>
      <w:rFonts w:hint="default" w:ascii="Courier New" w:hAnsi="Courier New" w:eastAsia="Courier New" w:cs="Courier New"/>
    </w:rPr>
  </w:style>
  <w:style w:type="paragraph" w:customStyle="1" w:styleId="47">
    <w:name w:val="BodyText1I2"/>
    <w:basedOn w:val="48"/>
    <w:qFormat/>
    <w:uiPriority w:val="0"/>
    <w:pPr>
      <w:spacing w:after="120" w:line="240" w:lineRule="auto"/>
      <w:ind w:left="420" w:leftChars="200" w:firstLine="420" w:firstLineChars="200"/>
    </w:pPr>
    <w:rPr>
      <w:rFonts w:ascii="Times New Roman"/>
      <w:sz w:val="21"/>
    </w:rPr>
  </w:style>
  <w:style w:type="paragraph" w:customStyle="1" w:styleId="48">
    <w:name w:val="BodyTextIndent"/>
    <w:basedOn w:val="1"/>
    <w:next w:val="47"/>
    <w:qFormat/>
    <w:uiPriority w:val="0"/>
    <w:pPr>
      <w:spacing w:line="360" w:lineRule="auto"/>
      <w:ind w:firstLine="480"/>
      <w:textAlignment w:val="baseline"/>
    </w:pPr>
    <w:rPr>
      <w:rFonts w:ascii="宋体" w:hAnsi="宋体" w:eastAsia="仿宋_GB2312"/>
      <w:b/>
      <w:spacing w:val="4"/>
      <w:sz w:val="24"/>
      <w:szCs w:val="28"/>
    </w:rPr>
  </w:style>
  <w:style w:type="paragraph" w:customStyle="1" w:styleId="49">
    <w:name w:val="列出段落1"/>
    <w:basedOn w:val="1"/>
    <w:qFormat/>
    <w:uiPriority w:val="0"/>
    <w:pPr>
      <w:ind w:firstLine="420" w:firstLineChars="200"/>
    </w:pPr>
    <w:rPr>
      <w:szCs w:val="22"/>
    </w:rPr>
  </w:style>
  <w:style w:type="paragraph" w:customStyle="1" w:styleId="50">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51">
    <w:name w:val="p0"/>
    <w:basedOn w:val="1"/>
    <w:link w:val="116"/>
    <w:qFormat/>
    <w:uiPriority w:val="0"/>
    <w:pPr>
      <w:widowControl/>
    </w:pPr>
    <w:rPr>
      <w:kern w:val="0"/>
      <w:szCs w:val="21"/>
    </w:rPr>
  </w:style>
  <w:style w:type="character" w:customStyle="1" w:styleId="52">
    <w:name w:val="t_test"/>
    <w:basedOn w:val="34"/>
    <w:qFormat/>
    <w:uiPriority w:val="0"/>
    <w:rPr>
      <w:b/>
      <w:color w:val="FFFFFF"/>
      <w:sz w:val="27"/>
      <w:szCs w:val="27"/>
      <w:shd w:val="clear" w:color="auto" w:fill="00B14A"/>
    </w:rPr>
  </w:style>
  <w:style w:type="character" w:customStyle="1" w:styleId="53">
    <w:name w:val="on"/>
    <w:basedOn w:val="34"/>
    <w:qFormat/>
    <w:uiPriority w:val="0"/>
    <w:rPr>
      <w:color w:val="FFFFFF"/>
      <w:shd w:val="clear" w:color="auto" w:fill="FF6600"/>
    </w:rPr>
  </w:style>
  <w:style w:type="character" w:customStyle="1" w:styleId="54">
    <w:name w:val="sbg1"/>
    <w:basedOn w:val="34"/>
    <w:qFormat/>
    <w:uiPriority w:val="0"/>
    <w:rPr>
      <w:shd w:val="clear" w:color="auto" w:fill="FF9900"/>
    </w:rPr>
  </w:style>
  <w:style w:type="character" w:customStyle="1" w:styleId="55">
    <w:name w:val="items1"/>
    <w:basedOn w:val="34"/>
    <w:qFormat/>
    <w:uiPriority w:val="0"/>
  </w:style>
  <w:style w:type="character" w:customStyle="1" w:styleId="56">
    <w:name w:val="items2"/>
    <w:basedOn w:val="34"/>
    <w:qFormat/>
    <w:uiPriority w:val="0"/>
  </w:style>
  <w:style w:type="character" w:customStyle="1" w:styleId="57">
    <w:name w:val="批注框文本 Char"/>
    <w:basedOn w:val="34"/>
    <w:link w:val="23"/>
    <w:qFormat/>
    <w:uiPriority w:val="0"/>
    <w:rPr>
      <w:kern w:val="2"/>
      <w:sz w:val="18"/>
      <w:szCs w:val="18"/>
    </w:rPr>
  </w:style>
  <w:style w:type="character" w:customStyle="1" w:styleId="58">
    <w:name w:val="checked"/>
    <w:basedOn w:val="34"/>
    <w:qFormat/>
    <w:uiPriority w:val="0"/>
  </w:style>
  <w:style w:type="character" w:customStyle="1" w:styleId="59">
    <w:name w:val="checked1"/>
    <w:basedOn w:val="34"/>
    <w:qFormat/>
    <w:uiPriority w:val="0"/>
    <w:rPr>
      <w:vanish/>
    </w:rPr>
  </w:style>
  <w:style w:type="character" w:customStyle="1" w:styleId="60">
    <w:name w:val="ca-nav-next"/>
    <w:basedOn w:val="34"/>
    <w:qFormat/>
    <w:uiPriority w:val="0"/>
  </w:style>
  <w:style w:type="character" w:customStyle="1" w:styleId="61">
    <w:name w:val="hover32"/>
    <w:basedOn w:val="34"/>
    <w:qFormat/>
    <w:uiPriority w:val="0"/>
  </w:style>
  <w:style w:type="character" w:customStyle="1" w:styleId="62">
    <w:name w:val="last-child"/>
    <w:basedOn w:val="34"/>
    <w:qFormat/>
    <w:uiPriority w:val="0"/>
    <w:rPr>
      <w:color w:val="999999"/>
    </w:rPr>
  </w:style>
  <w:style w:type="character" w:customStyle="1" w:styleId="63">
    <w:name w:val="fontstrikethrough"/>
    <w:basedOn w:val="34"/>
    <w:qFormat/>
    <w:uiPriority w:val="0"/>
    <w:rPr>
      <w:strike/>
    </w:rPr>
  </w:style>
  <w:style w:type="character" w:customStyle="1" w:styleId="64">
    <w:name w:val="fontborder"/>
    <w:basedOn w:val="34"/>
    <w:qFormat/>
    <w:uiPriority w:val="0"/>
    <w:rPr>
      <w:bdr w:val="single" w:color="000000" w:sz="6" w:space="0"/>
    </w:rPr>
  </w:style>
  <w:style w:type="character" w:customStyle="1" w:styleId="65">
    <w:name w:val="c-icon16"/>
    <w:basedOn w:val="34"/>
    <w:qFormat/>
    <w:uiPriority w:val="0"/>
  </w:style>
  <w:style w:type="character" w:customStyle="1" w:styleId="66">
    <w:name w:val="items"/>
    <w:basedOn w:val="34"/>
    <w:qFormat/>
    <w:uiPriority w:val="0"/>
  </w:style>
  <w:style w:type="character" w:customStyle="1" w:styleId="67">
    <w:name w:val="btn-print"/>
    <w:basedOn w:val="34"/>
    <w:qFormat/>
    <w:uiPriority w:val="0"/>
    <w:rPr>
      <w:rFonts w:ascii="微软雅黑" w:hAnsi="微软雅黑" w:eastAsia="微软雅黑" w:cs="微软雅黑"/>
      <w:color w:val="3A3A3A"/>
      <w:sz w:val="19"/>
      <w:szCs w:val="19"/>
      <w:bdr w:val="outset" w:color="FFFFFF" w:sz="6" w:space="0"/>
      <w:shd w:val="clear" w:color="auto" w:fill="FFFFFF"/>
    </w:rPr>
  </w:style>
  <w:style w:type="character" w:customStyle="1" w:styleId="68">
    <w:name w:val="btn-print1"/>
    <w:basedOn w:val="34"/>
    <w:qFormat/>
    <w:uiPriority w:val="0"/>
    <w:rPr>
      <w:rFonts w:ascii="微软雅黑" w:hAnsi="微软雅黑" w:eastAsia="微软雅黑" w:cs="微软雅黑"/>
      <w:color w:val="3A3A3A"/>
      <w:sz w:val="19"/>
      <w:szCs w:val="19"/>
      <w:bdr w:val="outset" w:color="FFFFFF" w:sz="6" w:space="0"/>
      <w:shd w:val="clear" w:color="auto" w:fill="FFFFFF"/>
    </w:rPr>
  </w:style>
  <w:style w:type="character" w:customStyle="1" w:styleId="69">
    <w:name w:val="num"/>
    <w:basedOn w:val="34"/>
    <w:qFormat/>
    <w:uiPriority w:val="0"/>
  </w:style>
  <w:style w:type="character" w:customStyle="1" w:styleId="70">
    <w:name w:val="type"/>
    <w:basedOn w:val="34"/>
    <w:qFormat/>
    <w:uiPriority w:val="0"/>
    <w:rPr>
      <w:color w:val="E70012"/>
    </w:rPr>
  </w:style>
  <w:style w:type="character" w:customStyle="1" w:styleId="71">
    <w:name w:val="now"/>
    <w:basedOn w:val="34"/>
    <w:qFormat/>
    <w:uiPriority w:val="0"/>
    <w:rPr>
      <w:bdr w:val="inset" w:color="EEEEEE" w:sz="6" w:space="0"/>
      <w:shd w:val="clear" w:color="auto" w:fill="F0F0F0"/>
    </w:rPr>
  </w:style>
  <w:style w:type="character" w:customStyle="1" w:styleId="72">
    <w:name w:val="next"/>
    <w:basedOn w:val="34"/>
    <w:qFormat/>
    <w:uiPriority w:val="0"/>
    <w:rPr>
      <w:color w:val="2A282B"/>
      <w:bdr w:val="single" w:color="FFFFFF" w:sz="6" w:space="0"/>
    </w:rPr>
  </w:style>
  <w:style w:type="character" w:customStyle="1" w:styleId="73">
    <w:name w:val="category"/>
    <w:basedOn w:val="34"/>
    <w:qFormat/>
    <w:uiPriority w:val="0"/>
    <w:rPr>
      <w:color w:val="E70012"/>
    </w:rPr>
  </w:style>
  <w:style w:type="character" w:customStyle="1" w:styleId="74">
    <w:name w:val="currentpageno"/>
    <w:basedOn w:val="34"/>
    <w:qFormat/>
    <w:uiPriority w:val="0"/>
    <w:rPr>
      <w:color w:val="FFFFFF"/>
      <w:bdr w:val="single" w:color="AAB0C8" w:sz="6" w:space="0"/>
      <w:shd w:val="clear" w:color="auto" w:fill="306DBD"/>
    </w:rPr>
  </w:style>
  <w:style w:type="character" w:customStyle="1" w:styleId="75">
    <w:name w:val="bsharetext"/>
    <w:basedOn w:val="34"/>
    <w:qFormat/>
    <w:uiPriority w:val="0"/>
  </w:style>
  <w:style w:type="character" w:customStyle="1" w:styleId="76">
    <w:name w:val="NormalCharacter"/>
    <w:qFormat/>
    <w:uiPriority w:val="0"/>
    <w:rPr>
      <w:rFonts w:ascii="Times New Roman" w:hAnsi="Times New Roman" w:eastAsia="宋体" w:cs="Times New Roman"/>
      <w:kern w:val="2"/>
      <w:sz w:val="21"/>
      <w:szCs w:val="24"/>
      <w:lang w:val="en-US" w:eastAsia="zh-CN" w:bidi="ar-SA"/>
    </w:rPr>
  </w:style>
  <w:style w:type="character" w:customStyle="1" w:styleId="77">
    <w:name w:val="other_td"/>
    <w:basedOn w:val="34"/>
    <w:qFormat/>
    <w:uiPriority w:val="0"/>
    <w:rPr>
      <w:b/>
    </w:rPr>
  </w:style>
  <w:style w:type="character" w:customStyle="1" w:styleId="78">
    <w:name w:val="hover34"/>
    <w:basedOn w:val="34"/>
    <w:qFormat/>
    <w:uiPriority w:val="0"/>
    <w:rPr>
      <w:color w:val="FFFFFF"/>
      <w:shd w:val="clear" w:color="auto" w:fill="FF0000"/>
    </w:rPr>
  </w:style>
  <w:style w:type="character" w:customStyle="1" w:styleId="79">
    <w:name w:val="layui-layer-tabnow"/>
    <w:basedOn w:val="34"/>
    <w:qFormat/>
    <w:uiPriority w:val="0"/>
    <w:rPr>
      <w:bdr w:val="single" w:color="CCCCCC" w:sz="6" w:space="0"/>
      <w:shd w:val="clear" w:color="auto" w:fill="FFFFFF"/>
    </w:rPr>
  </w:style>
  <w:style w:type="character" w:customStyle="1" w:styleId="80">
    <w:name w:val="first-child"/>
    <w:basedOn w:val="34"/>
    <w:qFormat/>
    <w:uiPriority w:val="0"/>
  </w:style>
  <w:style w:type="character" w:customStyle="1" w:styleId="81">
    <w:name w:val="hover35"/>
    <w:basedOn w:val="34"/>
    <w:qFormat/>
    <w:uiPriority w:val="0"/>
    <w:rPr>
      <w:color w:val="FFFFFF"/>
      <w:shd w:val="clear" w:color="auto" w:fill="FF0000"/>
    </w:rPr>
  </w:style>
  <w:style w:type="character" w:customStyle="1" w:styleId="82">
    <w:name w:val="c-icon"/>
    <w:basedOn w:val="34"/>
    <w:qFormat/>
    <w:uiPriority w:val="0"/>
  </w:style>
  <w:style w:type="character" w:customStyle="1" w:styleId="83">
    <w:name w:val="layui-this"/>
    <w:basedOn w:val="34"/>
    <w:qFormat/>
    <w:uiPriority w:val="0"/>
    <w:rPr>
      <w:bdr w:val="single" w:color="EEEEEE" w:sz="6" w:space="0"/>
      <w:shd w:val="clear" w:color="auto" w:fill="FFFFFF"/>
    </w:rPr>
  </w:style>
  <w:style w:type="character" w:customStyle="1" w:styleId="84">
    <w:name w:val="prev"/>
    <w:basedOn w:val="34"/>
    <w:qFormat/>
    <w:uiPriority w:val="0"/>
  </w:style>
  <w:style w:type="character" w:customStyle="1" w:styleId="85">
    <w:name w:val="text"/>
    <w:basedOn w:val="34"/>
    <w:qFormat/>
    <w:uiPriority w:val="0"/>
  </w:style>
  <w:style w:type="character" w:customStyle="1" w:styleId="86">
    <w:name w:val="icon"/>
    <w:basedOn w:val="34"/>
    <w:qFormat/>
    <w:uiPriority w:val="0"/>
  </w:style>
  <w:style w:type="character" w:customStyle="1" w:styleId="87">
    <w:name w:val="active"/>
    <w:basedOn w:val="34"/>
    <w:qFormat/>
    <w:uiPriority w:val="0"/>
    <w:rPr>
      <w:shd w:val="clear" w:color="auto" w:fill="FFFFFF"/>
    </w:rPr>
  </w:style>
  <w:style w:type="character" w:customStyle="1" w:styleId="88">
    <w:name w:val="active1"/>
    <w:basedOn w:val="34"/>
    <w:qFormat/>
    <w:uiPriority w:val="0"/>
    <w:rPr>
      <w:shd w:val="clear" w:color="auto" w:fill="FFFFFF"/>
    </w:rPr>
  </w:style>
  <w:style w:type="character" w:customStyle="1" w:styleId="89">
    <w:name w:val="hover16"/>
    <w:basedOn w:val="34"/>
    <w:qFormat/>
    <w:uiPriority w:val="0"/>
    <w:rPr>
      <w:bdr w:val="single" w:color="999999" w:sz="6" w:space="0"/>
    </w:rPr>
  </w:style>
  <w:style w:type="character" w:customStyle="1" w:styleId="90">
    <w:name w:val="curpage"/>
    <w:basedOn w:val="34"/>
    <w:qFormat/>
    <w:uiPriority w:val="0"/>
    <w:rPr>
      <w:b/>
    </w:rPr>
  </w:style>
  <w:style w:type="character" w:customStyle="1" w:styleId="91">
    <w:name w:val="generalinfo-address-text1"/>
    <w:basedOn w:val="34"/>
    <w:qFormat/>
    <w:uiPriority w:val="0"/>
    <w:rPr>
      <w:sz w:val="18"/>
      <w:szCs w:val="18"/>
    </w:rPr>
  </w:style>
  <w:style w:type="character" w:customStyle="1" w:styleId="92">
    <w:name w:val="标题 4 Char"/>
    <w:basedOn w:val="34"/>
    <w:link w:val="6"/>
    <w:qFormat/>
    <w:uiPriority w:val="0"/>
    <w:rPr>
      <w:rFonts w:ascii="Cambria" w:hAnsi="Cambria"/>
      <w:b/>
      <w:bCs/>
      <w:kern w:val="2"/>
      <w:sz w:val="28"/>
      <w:szCs w:val="28"/>
    </w:rPr>
  </w:style>
  <w:style w:type="character" w:customStyle="1" w:styleId="93">
    <w:name w:val="标题 5 Char"/>
    <w:basedOn w:val="34"/>
    <w:link w:val="7"/>
    <w:qFormat/>
    <w:uiPriority w:val="0"/>
    <w:rPr>
      <w:b/>
      <w:kern w:val="2"/>
      <w:sz w:val="28"/>
    </w:rPr>
  </w:style>
  <w:style w:type="character" w:customStyle="1" w:styleId="94">
    <w:name w:val="标题 6 Char"/>
    <w:basedOn w:val="34"/>
    <w:link w:val="8"/>
    <w:qFormat/>
    <w:uiPriority w:val="0"/>
    <w:rPr>
      <w:rFonts w:ascii="Arial" w:hAnsi="Arial" w:eastAsia="黑体"/>
      <w:b/>
      <w:kern w:val="2"/>
      <w:sz w:val="24"/>
    </w:rPr>
  </w:style>
  <w:style w:type="character" w:customStyle="1" w:styleId="95">
    <w:name w:val="标题 7 Char"/>
    <w:basedOn w:val="34"/>
    <w:link w:val="9"/>
    <w:qFormat/>
    <w:uiPriority w:val="0"/>
    <w:rPr>
      <w:b/>
      <w:kern w:val="2"/>
      <w:sz w:val="24"/>
    </w:rPr>
  </w:style>
  <w:style w:type="character" w:customStyle="1" w:styleId="96">
    <w:name w:val="标题 8 Char"/>
    <w:basedOn w:val="34"/>
    <w:link w:val="10"/>
    <w:qFormat/>
    <w:uiPriority w:val="0"/>
    <w:rPr>
      <w:rFonts w:ascii="Arial" w:hAnsi="Arial" w:eastAsia="黑体"/>
      <w:kern w:val="2"/>
      <w:sz w:val="24"/>
    </w:rPr>
  </w:style>
  <w:style w:type="character" w:customStyle="1" w:styleId="97">
    <w:name w:val="标题 9 Char"/>
    <w:basedOn w:val="34"/>
    <w:link w:val="11"/>
    <w:qFormat/>
    <w:uiPriority w:val="0"/>
    <w:rPr>
      <w:rFonts w:ascii="Arial" w:hAnsi="Arial" w:eastAsia="黑体"/>
      <w:kern w:val="2"/>
      <w:sz w:val="21"/>
    </w:rPr>
  </w:style>
  <w:style w:type="character" w:customStyle="1" w:styleId="98">
    <w:name w:val="标题 2 Char"/>
    <w:basedOn w:val="34"/>
    <w:link w:val="4"/>
    <w:qFormat/>
    <w:uiPriority w:val="0"/>
    <w:rPr>
      <w:kern w:val="2"/>
      <w:sz w:val="21"/>
      <w:szCs w:val="24"/>
    </w:rPr>
  </w:style>
  <w:style w:type="character" w:customStyle="1" w:styleId="99">
    <w:name w:val="标题 3 Char"/>
    <w:basedOn w:val="34"/>
    <w:link w:val="5"/>
    <w:qFormat/>
    <w:uiPriority w:val="0"/>
    <w:rPr>
      <w:rFonts w:ascii="宋体" w:hAnsi="宋体"/>
      <w:b/>
      <w:color w:val="AAAAAA"/>
      <w:sz w:val="27"/>
      <w:szCs w:val="27"/>
    </w:rPr>
  </w:style>
  <w:style w:type="character" w:customStyle="1" w:styleId="100">
    <w:name w:val="页脚 Char"/>
    <w:basedOn w:val="34"/>
    <w:link w:val="24"/>
    <w:qFormat/>
    <w:uiPriority w:val="0"/>
    <w:rPr>
      <w:kern w:val="2"/>
      <w:sz w:val="18"/>
      <w:szCs w:val="18"/>
    </w:rPr>
  </w:style>
  <w:style w:type="character" w:customStyle="1" w:styleId="101">
    <w:name w:val="页眉 Char"/>
    <w:basedOn w:val="34"/>
    <w:link w:val="25"/>
    <w:qFormat/>
    <w:uiPriority w:val="0"/>
    <w:rPr>
      <w:kern w:val="2"/>
      <w:sz w:val="18"/>
      <w:szCs w:val="18"/>
    </w:rPr>
  </w:style>
  <w:style w:type="character" w:customStyle="1" w:styleId="102">
    <w:name w:val="10"/>
    <w:basedOn w:val="34"/>
    <w:qFormat/>
    <w:uiPriority w:val="0"/>
    <w:rPr>
      <w:rFonts w:hint="default" w:ascii="Times New Roman" w:hAnsi="Times New Roman" w:cs="Times New Roman"/>
    </w:rPr>
  </w:style>
  <w:style w:type="character" w:customStyle="1" w:styleId="103">
    <w:name w:val="15"/>
    <w:basedOn w:val="34"/>
    <w:qFormat/>
    <w:uiPriority w:val="0"/>
    <w:rPr>
      <w:rFonts w:hint="default" w:ascii="Times New Roman" w:hAnsi="Times New Roman" w:cs="Times New Roman"/>
    </w:rPr>
  </w:style>
  <w:style w:type="character" w:customStyle="1" w:styleId="104">
    <w:name w:val="16"/>
    <w:basedOn w:val="34"/>
    <w:qFormat/>
    <w:uiPriority w:val="0"/>
    <w:rPr>
      <w:rFonts w:hint="default" w:ascii="Times New Roman" w:hAnsi="Times New Roman" w:eastAsia="宋体" w:cs="Times New Roman"/>
      <w:b/>
      <w:bCs/>
      <w:kern w:val="2"/>
      <w:sz w:val="32"/>
      <w:szCs w:val="32"/>
    </w:rPr>
  </w:style>
  <w:style w:type="character" w:customStyle="1" w:styleId="105">
    <w:name w:val="标题 1 Char"/>
    <w:basedOn w:val="34"/>
    <w:link w:val="3"/>
    <w:qFormat/>
    <w:uiPriority w:val="0"/>
    <w:rPr>
      <w:rFonts w:ascii="Cambria" w:hAnsi="Cambria"/>
      <w:b/>
      <w:bCs/>
      <w:kern w:val="32"/>
      <w:sz w:val="32"/>
      <w:szCs w:val="32"/>
    </w:rPr>
  </w:style>
  <w:style w:type="character" w:customStyle="1" w:styleId="106">
    <w:name w:val="标题 Char"/>
    <w:basedOn w:val="34"/>
    <w:link w:val="29"/>
    <w:qFormat/>
    <w:uiPriority w:val="0"/>
    <w:rPr>
      <w:rFonts w:ascii="Cambria" w:hAnsi="Cambria"/>
      <w:b/>
      <w:kern w:val="2"/>
      <w:sz w:val="32"/>
      <w:szCs w:val="24"/>
    </w:rPr>
  </w:style>
  <w:style w:type="character" w:customStyle="1" w:styleId="107">
    <w:name w:val="标题 Char1"/>
    <w:basedOn w:val="34"/>
    <w:qFormat/>
    <w:uiPriority w:val="10"/>
    <w:rPr>
      <w:rFonts w:ascii="Cambria" w:hAnsi="Cambria" w:cs="Times New Roman"/>
      <w:b/>
      <w:bCs/>
      <w:kern w:val="2"/>
      <w:sz w:val="32"/>
      <w:szCs w:val="32"/>
    </w:rPr>
  </w:style>
  <w:style w:type="character" w:customStyle="1" w:styleId="108">
    <w:name w:val="正文文本缩进 3 Char"/>
    <w:basedOn w:val="34"/>
    <w:link w:val="26"/>
    <w:qFormat/>
    <w:uiPriority w:val="0"/>
    <w:rPr>
      <w:rFonts w:ascii="宋体" w:hAnsi="MS Sans Serif"/>
      <w:color w:val="000000"/>
      <w:sz w:val="24"/>
    </w:rPr>
  </w:style>
  <w:style w:type="character" w:customStyle="1" w:styleId="109">
    <w:name w:val="正文文本缩进 3 Char1"/>
    <w:basedOn w:val="34"/>
    <w:qFormat/>
    <w:uiPriority w:val="99"/>
    <w:rPr>
      <w:kern w:val="2"/>
      <w:sz w:val="16"/>
      <w:szCs w:val="16"/>
    </w:rPr>
  </w:style>
  <w:style w:type="character" w:customStyle="1" w:styleId="110">
    <w:name w:val="日期 Char"/>
    <w:basedOn w:val="34"/>
    <w:link w:val="21"/>
    <w:qFormat/>
    <w:uiPriority w:val="0"/>
    <w:rPr>
      <w:kern w:val="2"/>
      <w:sz w:val="24"/>
    </w:rPr>
  </w:style>
  <w:style w:type="character" w:customStyle="1" w:styleId="111">
    <w:name w:val="日期 Char1"/>
    <w:basedOn w:val="34"/>
    <w:qFormat/>
    <w:uiPriority w:val="99"/>
    <w:rPr>
      <w:kern w:val="2"/>
      <w:sz w:val="21"/>
      <w:szCs w:val="21"/>
    </w:rPr>
  </w:style>
  <w:style w:type="character" w:customStyle="1" w:styleId="112">
    <w:name w:val="批注主题 Char"/>
    <w:basedOn w:val="113"/>
    <w:link w:val="30"/>
    <w:qFormat/>
    <w:uiPriority w:val="0"/>
    <w:rPr>
      <w:b/>
      <w:kern w:val="2"/>
      <w:sz w:val="21"/>
    </w:rPr>
  </w:style>
  <w:style w:type="character" w:customStyle="1" w:styleId="113">
    <w:name w:val="批注文字 Char"/>
    <w:basedOn w:val="34"/>
    <w:qFormat/>
    <w:uiPriority w:val="0"/>
    <w:rPr>
      <w:kern w:val="2"/>
      <w:sz w:val="21"/>
    </w:rPr>
  </w:style>
  <w:style w:type="character" w:customStyle="1" w:styleId="114">
    <w:name w:val="批注文字 Char1"/>
    <w:basedOn w:val="34"/>
    <w:link w:val="16"/>
    <w:qFormat/>
    <w:uiPriority w:val="99"/>
    <w:rPr>
      <w:kern w:val="2"/>
      <w:sz w:val="21"/>
      <w:szCs w:val="24"/>
    </w:rPr>
  </w:style>
  <w:style w:type="character" w:customStyle="1" w:styleId="115">
    <w:name w:val="批注主题 Char1"/>
    <w:basedOn w:val="114"/>
    <w:qFormat/>
    <w:uiPriority w:val="99"/>
    <w:rPr>
      <w:b/>
      <w:bCs/>
      <w:kern w:val="2"/>
      <w:sz w:val="21"/>
      <w:szCs w:val="24"/>
    </w:rPr>
  </w:style>
  <w:style w:type="character" w:customStyle="1" w:styleId="116">
    <w:name w:val="p0 Char Char"/>
    <w:basedOn w:val="34"/>
    <w:link w:val="51"/>
    <w:qFormat/>
    <w:uiPriority w:val="0"/>
    <w:rPr>
      <w:sz w:val="21"/>
      <w:szCs w:val="21"/>
    </w:rPr>
  </w:style>
  <w:style w:type="character" w:customStyle="1" w:styleId="117">
    <w:name w:val="纯文本 Char"/>
    <w:basedOn w:val="34"/>
    <w:link w:val="20"/>
    <w:qFormat/>
    <w:uiPriority w:val="0"/>
    <w:rPr>
      <w:rFonts w:ascii="宋体" w:hAnsi="Courier New" w:cs="Courier New"/>
      <w:kern w:val="2"/>
      <w:sz w:val="21"/>
      <w:szCs w:val="21"/>
    </w:rPr>
  </w:style>
  <w:style w:type="character" w:customStyle="1" w:styleId="118">
    <w:name w:val="纯文本 Char1"/>
    <w:basedOn w:val="34"/>
    <w:qFormat/>
    <w:uiPriority w:val="99"/>
    <w:rPr>
      <w:rFonts w:ascii="宋体" w:hAnsi="Courier New" w:cs="Courier New"/>
      <w:kern w:val="2"/>
      <w:sz w:val="21"/>
      <w:szCs w:val="21"/>
    </w:rPr>
  </w:style>
  <w:style w:type="paragraph" w:customStyle="1" w:styleId="119">
    <w:name w:val="标题2"/>
    <w:basedOn w:val="29"/>
    <w:qFormat/>
    <w:uiPriority w:val="0"/>
    <w:pPr>
      <w:spacing w:before="240" w:after="240"/>
      <w:jc w:val="left"/>
    </w:pPr>
    <w:rPr>
      <w:sz w:val="30"/>
      <w:szCs w:val="20"/>
    </w:rPr>
  </w:style>
  <w:style w:type="character" w:customStyle="1" w:styleId="120">
    <w:name w:val="正文文本 Char"/>
    <w:basedOn w:val="34"/>
    <w:link w:val="17"/>
    <w:qFormat/>
    <w:uiPriority w:val="0"/>
    <w:rPr>
      <w:kern w:val="2"/>
      <w:sz w:val="21"/>
      <w:szCs w:val="24"/>
    </w:rPr>
  </w:style>
  <w:style w:type="character" w:customStyle="1" w:styleId="121">
    <w:name w:val="文档结构图 Char"/>
    <w:basedOn w:val="34"/>
    <w:link w:val="14"/>
    <w:qFormat/>
    <w:uiPriority w:val="0"/>
    <w:rPr>
      <w:szCs w:val="24"/>
      <w:shd w:val="clear" w:color="auto" w:fill="000080"/>
    </w:rPr>
  </w:style>
  <w:style w:type="character" w:customStyle="1" w:styleId="122">
    <w:name w:val="文档结构图 Char1"/>
    <w:basedOn w:val="34"/>
    <w:qFormat/>
    <w:uiPriority w:val="99"/>
    <w:rPr>
      <w:rFonts w:ascii="宋体"/>
      <w:kern w:val="2"/>
      <w:sz w:val="18"/>
      <w:szCs w:val="18"/>
    </w:rPr>
  </w:style>
  <w:style w:type="paragraph" w:customStyle="1" w:styleId="123">
    <w:name w:val="Body text|1"/>
    <w:basedOn w:val="1"/>
    <w:qFormat/>
    <w:uiPriority w:val="0"/>
    <w:pPr>
      <w:widowControl w:val="0"/>
      <w:shd w:val="clear" w:color="auto" w:fill="auto"/>
      <w:spacing w:line="415" w:lineRule="auto"/>
      <w:ind w:firstLine="400"/>
    </w:pPr>
    <w:rPr>
      <w:rFonts w:ascii="宋体" w:hAnsi="宋体" w:eastAsia="宋体" w:cs="宋体"/>
      <w:sz w:val="30"/>
      <w:szCs w:val="30"/>
      <w:u w:val="none"/>
      <w:shd w:val="clear" w:color="auto" w:fill="auto"/>
      <w:lang w:val="zh-TW" w:eastAsia="zh-TW" w:bidi="zh-TW"/>
    </w:rPr>
  </w:style>
  <w:style w:type="character" w:customStyle="1" w:styleId="124">
    <w:name w:val="w50b4"/>
    <w:basedOn w:val="34"/>
    <w:qFormat/>
    <w:uiPriority w:val="0"/>
  </w:style>
  <w:style w:type="character" w:customStyle="1" w:styleId="125">
    <w:name w:val="w49b"/>
    <w:basedOn w:val="34"/>
    <w:qFormat/>
    <w:uiPriority w:val="0"/>
  </w:style>
  <w:style w:type="character" w:customStyle="1" w:styleId="126">
    <w:name w:val="id"/>
    <w:basedOn w:val="34"/>
    <w:qFormat/>
    <w:uiPriority w:val="0"/>
    <w:rPr>
      <w:color w:val="FFFFFF"/>
      <w:shd w:val="clear" w:color="auto" w:fill="3B84CD"/>
    </w:rPr>
  </w:style>
  <w:style w:type="character" w:customStyle="1" w:styleId="127">
    <w:name w:val="pt"/>
    <w:basedOn w:val="34"/>
    <w:qFormat/>
    <w:uiPriority w:val="0"/>
  </w:style>
  <w:style w:type="character" w:customStyle="1" w:styleId="128">
    <w:name w:val="fresh"/>
    <w:basedOn w:val="34"/>
    <w:qFormat/>
    <w:uiPriority w:val="0"/>
  </w:style>
  <w:style w:type="character" w:customStyle="1" w:styleId="129">
    <w:name w:val="w84b"/>
    <w:basedOn w:val="34"/>
    <w:qFormat/>
    <w:uiPriority w:val="0"/>
  </w:style>
  <w:style w:type="character" w:customStyle="1" w:styleId="130">
    <w:name w:val="w32b2"/>
    <w:basedOn w:val="34"/>
    <w:qFormat/>
    <w:uiPriority w:val="0"/>
  </w:style>
  <w:style w:type="character" w:customStyle="1" w:styleId="131">
    <w:name w:val="spacing5"/>
    <w:basedOn w:val="34"/>
    <w:qFormat/>
    <w:uiPriority w:val="0"/>
    <w:rPr>
      <w:spacing w:val="75"/>
    </w:rPr>
  </w:style>
  <w:style w:type="character" w:customStyle="1" w:styleId="132">
    <w:name w:val="zybh"/>
    <w:basedOn w:val="34"/>
    <w:qFormat/>
    <w:uiPriority w:val="0"/>
    <w:rPr>
      <w:b/>
      <w:bCs/>
      <w:color w:val="F9A156"/>
    </w:rPr>
  </w:style>
  <w:style w:type="character" w:customStyle="1" w:styleId="133">
    <w:name w:val="zybh1"/>
    <w:basedOn w:val="34"/>
    <w:qFormat/>
    <w:uiPriority w:val="0"/>
    <w:rPr>
      <w:color w:val="51BDA7"/>
    </w:rPr>
  </w:style>
  <w:style w:type="character" w:customStyle="1" w:styleId="134">
    <w:name w:val="w60b4"/>
    <w:basedOn w:val="34"/>
    <w:qFormat/>
    <w:uiPriority w:val="0"/>
  </w:style>
  <w:style w:type="character" w:customStyle="1" w:styleId="135">
    <w:name w:val="time6"/>
    <w:basedOn w:val="34"/>
    <w:qFormat/>
    <w:uiPriority w:val="0"/>
    <w:rPr>
      <w:color w:val="FFFFFF"/>
      <w:sz w:val="39"/>
      <w:szCs w:val="39"/>
      <w:shd w:val="clear" w:color="auto" w:fill="3B84CD"/>
    </w:rPr>
  </w:style>
  <w:style w:type="character" w:customStyle="1" w:styleId="136">
    <w:name w:val="w55b"/>
    <w:basedOn w:val="34"/>
    <w:qFormat/>
    <w:uiPriority w:val="0"/>
  </w:style>
  <w:style w:type="character" w:customStyle="1" w:styleId="137">
    <w:name w:val="sc"/>
    <w:basedOn w:val="34"/>
    <w:qFormat/>
    <w:uiPriority w:val="0"/>
  </w:style>
  <w:style w:type="character" w:customStyle="1" w:styleId="138">
    <w:name w:val="more2"/>
    <w:basedOn w:val="34"/>
    <w:qFormat/>
    <w:uiPriority w:val="0"/>
  </w:style>
  <w:style w:type="character" w:customStyle="1" w:styleId="139">
    <w:name w:val="w19b"/>
    <w:basedOn w:val="34"/>
    <w:qFormat/>
    <w:uiPriority w:val="0"/>
  </w:style>
  <w:style w:type="character" w:customStyle="1" w:styleId="140">
    <w:name w:val="w34b2"/>
    <w:basedOn w:val="34"/>
    <w:qFormat/>
    <w:uiPriority w:val="0"/>
  </w:style>
  <w:style w:type="character" w:customStyle="1" w:styleId="141">
    <w:name w:val="w40b4"/>
    <w:basedOn w:val="34"/>
    <w:qFormat/>
    <w:uiPriority w:val="0"/>
  </w:style>
  <w:style w:type="character" w:customStyle="1" w:styleId="142">
    <w:name w:val="w35b2"/>
    <w:basedOn w:val="34"/>
    <w:qFormat/>
    <w:uiPriority w:val="0"/>
  </w:style>
  <w:style w:type="character" w:customStyle="1" w:styleId="143">
    <w:name w:val="w29b"/>
    <w:basedOn w:val="34"/>
    <w:qFormat/>
    <w:uiPriority w:val="0"/>
  </w:style>
  <w:style w:type="character" w:customStyle="1" w:styleId="144">
    <w:name w:val="w72b"/>
    <w:basedOn w:val="34"/>
    <w:qFormat/>
    <w:uiPriority w:val="0"/>
  </w:style>
  <w:style w:type="character" w:customStyle="1" w:styleId="145">
    <w:name w:val="wp"/>
    <w:basedOn w:val="34"/>
    <w:qFormat/>
    <w:uiPriority w:val="0"/>
  </w:style>
  <w:style w:type="character" w:customStyle="1" w:styleId="146">
    <w:name w:val="ux"/>
    <w:basedOn w:val="34"/>
    <w:qFormat/>
    <w:uiPriority w:val="0"/>
    <w:rPr>
      <w:b/>
      <w:bCs/>
      <w:u w:val="single"/>
    </w:rPr>
  </w:style>
  <w:style w:type="character" w:customStyle="1" w:styleId="147">
    <w:name w:val="ck"/>
    <w:basedOn w:val="34"/>
    <w:qFormat/>
    <w:uiPriority w:val="0"/>
  </w:style>
  <w:style w:type="character" w:customStyle="1" w:styleId="148">
    <w:name w:val="txt-tips"/>
    <w:basedOn w:val="34"/>
    <w:qFormat/>
    <w:uiPriority w:val="0"/>
    <w:rPr>
      <w:color w:val="FF6C00"/>
    </w:rPr>
  </w:style>
  <w:style w:type="character" w:customStyle="1" w:styleId="149">
    <w:name w:val="txt-tips1"/>
    <w:basedOn w:val="34"/>
    <w:qFormat/>
    <w:uiPriority w:val="0"/>
    <w:rPr>
      <w:color w:val="FF6C00"/>
    </w:rPr>
  </w:style>
  <w:style w:type="character" w:customStyle="1" w:styleId="150">
    <w:name w:val="hover31"/>
    <w:basedOn w:val="34"/>
    <w:qFormat/>
    <w:uiPriority w:val="0"/>
    <w:rPr>
      <w:shd w:val="clear" w:color="auto" w:fill="EEEEEE"/>
    </w:rPr>
  </w:style>
  <w:style w:type="character" w:customStyle="1" w:styleId="151">
    <w:name w:val="zybh2"/>
    <w:basedOn w:val="34"/>
    <w:qFormat/>
    <w:uiPriority w:val="0"/>
    <w:rPr>
      <w:b/>
      <w:bCs/>
      <w:color w:val="F9A156"/>
    </w:rPr>
  </w:style>
  <w:style w:type="character" w:customStyle="1" w:styleId="152">
    <w:name w:val="zybh3"/>
    <w:basedOn w:val="34"/>
    <w:qFormat/>
    <w:uiPriority w:val="0"/>
    <w:rPr>
      <w:color w:val="51BDA7"/>
    </w:rPr>
  </w:style>
  <w:style w:type="character" w:customStyle="1" w:styleId="153">
    <w:name w:val="last-child2"/>
    <w:basedOn w:val="34"/>
    <w:qFormat/>
    <w:uiPriority w:val="0"/>
  </w:style>
  <w:style w:type="character" w:customStyle="1" w:styleId="154">
    <w:name w:val="more"/>
    <w:basedOn w:val="34"/>
    <w:qFormat/>
    <w:uiPriority w:val="0"/>
  </w:style>
  <w:style w:type="character" w:customStyle="1" w:styleId="155">
    <w:name w:val="w34b"/>
    <w:basedOn w:val="34"/>
    <w:qFormat/>
    <w:uiPriority w:val="0"/>
  </w:style>
  <w:style w:type="character" w:customStyle="1" w:styleId="156">
    <w:name w:val="w29b2"/>
    <w:basedOn w:val="34"/>
    <w:qFormat/>
    <w:uiPriority w:val="0"/>
  </w:style>
  <w:style w:type="character" w:customStyle="1" w:styleId="157">
    <w:name w:val="w19b2"/>
    <w:basedOn w:val="34"/>
    <w:qFormat/>
    <w:uiPriority w:val="0"/>
  </w:style>
  <w:style w:type="character" w:customStyle="1" w:styleId="158">
    <w:name w:val="w50b"/>
    <w:basedOn w:val="34"/>
    <w:qFormat/>
    <w:uiPriority w:val="0"/>
  </w:style>
  <w:style w:type="character" w:customStyle="1" w:styleId="159">
    <w:name w:val="w40b"/>
    <w:basedOn w:val="34"/>
    <w:qFormat/>
    <w:uiPriority w:val="0"/>
  </w:style>
  <w:style w:type="character" w:customStyle="1" w:styleId="160">
    <w:name w:val="hover30"/>
    <w:basedOn w:val="34"/>
    <w:qFormat/>
    <w:uiPriority w:val="0"/>
    <w:rPr>
      <w:shd w:val="clear" w:color="auto" w:fill="EEEEEE"/>
    </w:rPr>
  </w:style>
  <w:style w:type="character" w:customStyle="1" w:styleId="161">
    <w:name w:val="w32b"/>
    <w:basedOn w:val="34"/>
    <w:qFormat/>
    <w:uiPriority w:val="0"/>
  </w:style>
  <w:style w:type="character" w:customStyle="1" w:styleId="162">
    <w:name w:val="l-btn-icon-left"/>
    <w:basedOn w:val="34"/>
    <w:qFormat/>
    <w:uiPriority w:val="0"/>
  </w:style>
  <w:style w:type="character" w:customStyle="1" w:styleId="163">
    <w:name w:val="l-btn-text"/>
    <w:basedOn w:val="34"/>
    <w:qFormat/>
    <w:uiPriority w:val="0"/>
    <w:rPr>
      <w:sz w:val="18"/>
      <w:szCs w:val="18"/>
      <w:vertAlign w:val="baseline"/>
    </w:rPr>
  </w:style>
  <w:style w:type="character" w:customStyle="1" w:styleId="164">
    <w:name w:val="l-btn-left"/>
    <w:basedOn w:val="34"/>
    <w:qFormat/>
    <w:uiPriority w:val="0"/>
  </w:style>
  <w:style w:type="character" w:customStyle="1" w:styleId="165">
    <w:name w:val="l-btn-left1"/>
    <w:basedOn w:val="34"/>
    <w:qFormat/>
    <w:uiPriority w:val="0"/>
  </w:style>
  <w:style w:type="character" w:customStyle="1" w:styleId="166">
    <w:name w:val="l-btn-left2"/>
    <w:basedOn w:val="34"/>
    <w:qFormat/>
    <w:uiPriority w:val="0"/>
  </w:style>
  <w:style w:type="character" w:customStyle="1" w:styleId="167">
    <w:name w:val="l-btn-left3"/>
    <w:basedOn w:val="34"/>
    <w:qFormat/>
    <w:uiPriority w:val="0"/>
  </w:style>
  <w:style w:type="character" w:customStyle="1" w:styleId="168">
    <w:name w:val="l-btn-icon-right"/>
    <w:basedOn w:val="34"/>
    <w:qFormat/>
    <w:uiPriority w:val="0"/>
  </w:style>
  <w:style w:type="character" w:customStyle="1" w:styleId="169">
    <w:name w:val="l-btn-empty"/>
    <w:basedOn w:val="34"/>
    <w:qFormat/>
    <w:uiPriority w:val="0"/>
  </w:style>
  <w:style w:type="character" w:customStyle="1" w:styleId="170">
    <w:name w:val="l-btn-left4"/>
    <w:basedOn w:val="34"/>
    <w:qFormat/>
    <w:uiPriority w:val="0"/>
  </w:style>
  <w:style w:type="character" w:customStyle="1" w:styleId="171">
    <w:name w:val="l-btn-left5"/>
    <w:basedOn w:val="34"/>
    <w:qFormat/>
    <w:uiPriority w:val="0"/>
  </w:style>
  <w:style w:type="paragraph" w:customStyle="1" w:styleId="172">
    <w:name w:val="首行缩进"/>
    <w:basedOn w:val="1"/>
    <w:qFormat/>
    <w:uiPriority w:val="0"/>
    <w:pPr>
      <w:ind w:firstLine="480" w:firstLineChars="200"/>
    </w:pPr>
    <w:rPr>
      <w:lang w:val="zh-CN"/>
    </w:rPr>
  </w:style>
  <w:style w:type="paragraph" w:customStyle="1" w:styleId="173">
    <w:name w:val="Normal_1"/>
    <w:qFormat/>
    <w:uiPriority w:val="0"/>
    <w:rPr>
      <w:rFonts w:ascii="Calibri" w:hAnsi="Calibri"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51</Pages>
  <Words>22209</Words>
  <Characters>23330</Characters>
  <Lines>1</Lines>
  <Paragraphs>1</Paragraphs>
  <TotalTime>9</TotalTime>
  <ScaleCrop>false</ScaleCrop>
  <LinksUpToDate>false</LinksUpToDate>
  <CharactersWithSpaces>25221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2021-05-31T07:13:00Z</dcterms:created>
  <dc:creator>人来人往</dc:creator>
  <cp:lastModifiedBy>罗小波</cp:lastModifiedBy>
  <cp:lastPrinted>2022-04-21T01:33:00Z</cp:lastPrinted>
  <dcterms:modified xsi:type="dcterms:W3CDTF">2023-07-19T04:42:43Z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6128FB2280724B7487A5F310D7D05D55_13</vt:lpwstr>
  </property>
</Properties>
</file>